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8A" w:rsidRDefault="0023662E" w:rsidP="00E9058A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4A0724">
        <w:rPr>
          <w:rFonts w:ascii="Times New Roman" w:hAnsi="Times New Roman" w:cs="Times New Roman"/>
          <w:b/>
          <w:sz w:val="25"/>
          <w:szCs w:val="25"/>
          <w:lang w:val="uk-UA"/>
        </w:rPr>
        <w:t>На</w:t>
      </w:r>
      <w:r w:rsidR="006243D7" w:rsidRPr="004A0724">
        <w:rPr>
          <w:rFonts w:ascii="Times New Roman" w:hAnsi="Times New Roman" w:cs="Times New Roman"/>
          <w:b/>
          <w:sz w:val="25"/>
          <w:szCs w:val="25"/>
          <w:lang w:val="uk-UA"/>
        </w:rPr>
        <w:t>клад</w:t>
      </w:r>
      <w:r w:rsidR="006D5EDD" w:rsidRPr="004A0724">
        <w:rPr>
          <w:rFonts w:ascii="Times New Roman" w:hAnsi="Times New Roman" w:cs="Times New Roman"/>
          <w:b/>
          <w:sz w:val="25"/>
          <w:szCs w:val="25"/>
          <w:lang w:val="uk-UA"/>
        </w:rPr>
        <w:t>а</w:t>
      </w:r>
      <w:r w:rsidR="006243D7" w:rsidRPr="004A0724">
        <w:rPr>
          <w:rFonts w:ascii="Times New Roman" w:hAnsi="Times New Roman" w:cs="Times New Roman"/>
          <w:b/>
          <w:sz w:val="25"/>
          <w:szCs w:val="25"/>
          <w:lang w:val="uk-UA"/>
        </w:rPr>
        <w:t xml:space="preserve">ння </w:t>
      </w:r>
      <w:r w:rsidRPr="004A0724">
        <w:rPr>
          <w:rFonts w:ascii="Times New Roman" w:hAnsi="Times New Roman" w:cs="Times New Roman"/>
          <w:b/>
          <w:sz w:val="25"/>
          <w:szCs w:val="25"/>
          <w:lang w:val="uk-UA"/>
        </w:rPr>
        <w:t>заборони відчуження майна</w:t>
      </w:r>
    </w:p>
    <w:p w:rsidR="00A601A3" w:rsidRPr="004A0724" w:rsidRDefault="00AD04D0" w:rsidP="00EE79C9">
      <w:pPr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4A0724">
        <w:rPr>
          <w:rFonts w:ascii="Times New Roman" w:hAnsi="Times New Roman" w:cs="Times New Roman"/>
          <w:b/>
          <w:sz w:val="25"/>
          <w:szCs w:val="25"/>
          <w:lang w:val="uk-UA"/>
        </w:rPr>
        <w:t>відповідно до ст.47 Цивільного кодексу України</w:t>
      </w:r>
    </w:p>
    <w:p w:rsidR="003541F3" w:rsidRPr="004A0724" w:rsidRDefault="006C6F86" w:rsidP="00CC489D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Останнім часом</w:t>
      </w:r>
      <w:r w:rsidR="00AE75DA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 кількість зниклих осіб збільшилася порівняно із минулими роками, отже і збільшилась кількість осіб, які потребують захисту своїх прав та законних інтересів. Це стосується як самих осіб, які були визнані безвісно відсутніми </w:t>
      </w:r>
      <w:r w:rsidR="009E7B84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або оголошені померлими, так і </w:t>
      </w:r>
      <w:r w:rsidR="00953814" w:rsidRPr="004A0724">
        <w:rPr>
          <w:rFonts w:ascii="Times New Roman" w:hAnsi="Times New Roman" w:cs="Times New Roman"/>
          <w:sz w:val="25"/>
          <w:szCs w:val="25"/>
          <w:lang w:val="uk-UA"/>
        </w:rPr>
        <w:t>інших осіб</w:t>
      </w:r>
      <w:r w:rsidR="00D340B3" w:rsidRPr="004A0724">
        <w:rPr>
          <w:rFonts w:ascii="Times New Roman" w:hAnsi="Times New Roman" w:cs="Times New Roman"/>
          <w:sz w:val="25"/>
          <w:szCs w:val="25"/>
          <w:lang w:val="uk-UA"/>
        </w:rPr>
        <w:t>, які мають правові зв’язки зі зниклою особою. Особливої уваги в цьому напрямку заслуговує</w:t>
      </w:r>
      <w:r w:rsidR="008C5B6D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 питання </w:t>
      </w:r>
      <w:r w:rsidR="00E523D5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правового статусу майна особи, яка була визнана безвісно відсутньою або оголошена померлою, адже, як свідчить правозастосовна практика, за останні кілька років збільшилися випадки зловживання інститутом визнання особи безвісно відсутньою і оголошення померлою: безпідставне розірвання або пролонгація договорів, управління майном зниклої особи у своїх інтересах, призначення </w:t>
      </w:r>
      <w:r w:rsidR="003541F3" w:rsidRPr="004A0724">
        <w:rPr>
          <w:rFonts w:ascii="Times New Roman" w:hAnsi="Times New Roman" w:cs="Times New Roman"/>
          <w:sz w:val="25"/>
          <w:szCs w:val="25"/>
          <w:lang w:val="uk-UA"/>
        </w:rPr>
        <w:t>опікуном майна особи, яка завідомо діє проти інтересів зниклої особи або інших осіб, які пов’язані з нею, безпідставна реалізація майна зниклої особи тощо.</w:t>
      </w:r>
    </w:p>
    <w:p w:rsidR="00F56E8F" w:rsidRPr="004A0724" w:rsidRDefault="00AC068B" w:rsidP="00735AD1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4A0724">
        <w:rPr>
          <w:rFonts w:ascii="Times New Roman" w:hAnsi="Times New Roman" w:cs="Times New Roman"/>
          <w:sz w:val="25"/>
          <w:szCs w:val="25"/>
          <w:lang w:val="uk-UA"/>
        </w:rPr>
        <w:t>В</w:t>
      </w:r>
      <w:r w:rsidR="00776555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изнання особи безвісно відсутньою і оголошення її померлою в контексті розгляду правового статусу її майна є перш за все захист її майнових прав, інтересів та інтересів осіб, з якими </w:t>
      </w:r>
      <w:r w:rsidR="00CF5C98" w:rsidRPr="004A0724">
        <w:rPr>
          <w:rFonts w:ascii="Times New Roman" w:hAnsi="Times New Roman" w:cs="Times New Roman"/>
          <w:sz w:val="25"/>
          <w:szCs w:val="25"/>
          <w:lang w:val="uk-UA"/>
        </w:rPr>
        <w:t>зникла особа перебуває в цивільних правовідносинах</w:t>
      </w:r>
      <w:r w:rsidR="00B64163" w:rsidRPr="004A0724">
        <w:rPr>
          <w:rFonts w:ascii="Times New Roman" w:hAnsi="Times New Roman" w:cs="Times New Roman"/>
          <w:sz w:val="25"/>
          <w:szCs w:val="25"/>
          <w:lang w:val="uk-UA"/>
        </w:rPr>
        <w:t>.</w:t>
      </w:r>
      <w:r w:rsidR="00776555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   </w:t>
      </w:r>
      <w:r w:rsidR="00D340B3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</w:p>
    <w:p w:rsidR="00735AD1" w:rsidRPr="004A0724" w:rsidRDefault="0079020E" w:rsidP="00735AD1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Тривала відсутність фізичної особи в місці її проживання може мати ряд </w:t>
      </w:r>
      <w:r w:rsidR="00993040" w:rsidRPr="004A0724">
        <w:rPr>
          <w:rFonts w:ascii="Times New Roman" w:hAnsi="Times New Roman" w:cs="Times New Roman"/>
          <w:sz w:val="25"/>
          <w:szCs w:val="25"/>
          <w:lang w:val="uk-UA"/>
        </w:rPr>
        <w:t>негативних наслідків як для третіх осіб, так і для майна самої фізичної особи. Саме для запобігання таким наслідкам Цивільним кодексом</w:t>
      </w:r>
      <w:r w:rsidR="00811F93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 України </w:t>
      </w:r>
      <w:r w:rsidR="00DE3F02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надано можливість зацікавленим особам, в установленому </w:t>
      </w:r>
      <w:r w:rsidR="003F5D67" w:rsidRPr="004A0724">
        <w:rPr>
          <w:rFonts w:ascii="Times New Roman" w:hAnsi="Times New Roman" w:cs="Times New Roman"/>
          <w:sz w:val="25"/>
          <w:szCs w:val="25"/>
          <w:lang w:val="uk-UA"/>
        </w:rPr>
        <w:t>порядку, визнати фізичну особу безвісно відсутньою.</w:t>
      </w:r>
    </w:p>
    <w:p w:rsidR="003F5D67" w:rsidRPr="004A0724" w:rsidRDefault="003F5D67" w:rsidP="00735AD1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4A0724">
        <w:rPr>
          <w:rFonts w:ascii="Times New Roman" w:hAnsi="Times New Roman" w:cs="Times New Roman"/>
          <w:sz w:val="25"/>
          <w:szCs w:val="25"/>
          <w:lang w:val="uk-UA"/>
        </w:rPr>
        <w:t>Відповідно до ч.1 ст.43 Цивільного кодексу України для визнання фізичної особи безвісно відсутньою повинні бути наявними наступні умови:</w:t>
      </w:r>
    </w:p>
    <w:p w:rsidR="003F5D67" w:rsidRPr="004A0724" w:rsidRDefault="003F5D67" w:rsidP="003F5D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4A0724">
        <w:rPr>
          <w:rFonts w:ascii="Times New Roman" w:hAnsi="Times New Roman" w:cs="Times New Roman"/>
          <w:sz w:val="25"/>
          <w:szCs w:val="25"/>
          <w:lang w:val="uk-UA"/>
        </w:rPr>
        <w:t>відсутність протягом одного року в місці постійного проживання фізичної особи;</w:t>
      </w:r>
    </w:p>
    <w:p w:rsidR="003F5D67" w:rsidRPr="004A0724" w:rsidRDefault="002353BD" w:rsidP="003F5D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4A0724">
        <w:rPr>
          <w:rFonts w:ascii="Times New Roman" w:hAnsi="Times New Roman" w:cs="Times New Roman"/>
          <w:sz w:val="25"/>
          <w:szCs w:val="25"/>
          <w:lang w:val="uk-UA"/>
        </w:rPr>
        <w:t>відсутність відомостей в місці такого проживання про фізичну особу протягом року;</w:t>
      </w:r>
    </w:p>
    <w:p w:rsidR="00524B24" w:rsidRPr="004A0724" w:rsidRDefault="00524B24" w:rsidP="003F5D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неможливість установлення місця перебування фізичної особи (в такому разі </w:t>
      </w:r>
      <w:r w:rsidR="00821717">
        <w:rPr>
          <w:rFonts w:ascii="Times New Roman" w:hAnsi="Times New Roman" w:cs="Times New Roman"/>
          <w:sz w:val="25"/>
          <w:szCs w:val="25"/>
          <w:lang w:val="uk-UA"/>
        </w:rPr>
        <w:t xml:space="preserve">відповідно до ч.2 ст.43 Цивільного кодексу України </w:t>
      </w:r>
      <w:r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початком її безвісної відсутності вважається перше число </w:t>
      </w:r>
      <w:r w:rsidR="00CA5833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місяця, що йде за тим, у якому були одержані такі </w:t>
      </w:r>
      <w:r w:rsidR="005425D8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відомості, а в разі неможливості встановити цей місяць </w:t>
      </w:r>
      <w:r w:rsidR="00D2717A" w:rsidRPr="004A0724">
        <w:rPr>
          <w:rFonts w:ascii="Times New Roman" w:hAnsi="Times New Roman" w:cs="Times New Roman"/>
          <w:sz w:val="25"/>
          <w:szCs w:val="25"/>
          <w:lang w:val="uk-UA"/>
        </w:rPr>
        <w:t>– перше січня наступного року</w:t>
      </w:r>
      <w:r w:rsidR="001611C8">
        <w:rPr>
          <w:rFonts w:ascii="Times New Roman" w:hAnsi="Times New Roman" w:cs="Times New Roman"/>
          <w:sz w:val="25"/>
          <w:szCs w:val="25"/>
          <w:lang w:val="uk-UA"/>
        </w:rPr>
        <w:t>)</w:t>
      </w:r>
      <w:r w:rsidR="00D2717A" w:rsidRPr="004A0724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:rsidR="006111D3" w:rsidRPr="004A0724" w:rsidRDefault="00415EDA" w:rsidP="0020538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4A0724">
        <w:rPr>
          <w:rFonts w:ascii="Times New Roman" w:hAnsi="Times New Roman" w:cs="Times New Roman"/>
          <w:sz w:val="25"/>
          <w:szCs w:val="25"/>
          <w:lang w:val="uk-UA"/>
        </w:rPr>
        <w:t>Оголошення особи померлою на відміну від визнання особи безвісно відсутньою, можливе, якщо у місці її постійного проживання немає відомостей про місце її</w:t>
      </w:r>
      <w:r w:rsidR="006111D3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 перебування протягом трьох років.</w:t>
      </w:r>
    </w:p>
    <w:p w:rsidR="006111D3" w:rsidRPr="004A0724" w:rsidRDefault="006111D3" w:rsidP="0020538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4A0724">
        <w:rPr>
          <w:rFonts w:ascii="Times New Roman" w:hAnsi="Times New Roman" w:cs="Times New Roman"/>
          <w:sz w:val="25"/>
          <w:szCs w:val="25"/>
          <w:lang w:val="uk-UA"/>
        </w:rPr>
        <w:t>Хоча є обставини, коли це можна зробити і раніше:</w:t>
      </w:r>
    </w:p>
    <w:p w:rsidR="006111D3" w:rsidRPr="004A0724" w:rsidRDefault="006111D3" w:rsidP="006111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4A0724">
        <w:rPr>
          <w:rFonts w:ascii="Times New Roman" w:hAnsi="Times New Roman" w:cs="Times New Roman"/>
          <w:sz w:val="25"/>
          <w:szCs w:val="25"/>
          <w:lang w:val="uk-UA"/>
        </w:rPr>
        <w:t>якщо особа пропала безвісти за обставин, що загрожували їй смертю або дають підставу припускати її загибель від певного нещасного випадку – протягом шести місяців;</w:t>
      </w:r>
    </w:p>
    <w:p w:rsidR="00066735" w:rsidRPr="004A0724" w:rsidRDefault="00FA0954" w:rsidP="006111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4A0724">
        <w:rPr>
          <w:rFonts w:ascii="Times New Roman" w:hAnsi="Times New Roman" w:cs="Times New Roman"/>
          <w:sz w:val="25"/>
          <w:szCs w:val="25"/>
          <w:lang w:val="uk-UA"/>
        </w:rPr>
        <w:t>за можливості вважати фізичну особу загиблою від певного нещасного випадку або інших обставин</w:t>
      </w:r>
      <w:r w:rsidR="005F4A26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 внаслідок надзвичайних ситуацій техногенного та природного характеру – протягом одного місяця після завершення роботи </w:t>
      </w:r>
      <w:r w:rsidR="005F4A26" w:rsidRPr="004A0724">
        <w:rPr>
          <w:rFonts w:ascii="Times New Roman" w:hAnsi="Times New Roman" w:cs="Times New Roman"/>
          <w:sz w:val="25"/>
          <w:szCs w:val="25"/>
          <w:lang w:val="uk-UA"/>
        </w:rPr>
        <w:lastRenderedPageBreak/>
        <w:t xml:space="preserve">спеціальної комісії, утвореної внаслідок </w:t>
      </w:r>
      <w:r w:rsidR="00AC401E" w:rsidRPr="004A0724">
        <w:rPr>
          <w:rFonts w:ascii="Times New Roman" w:hAnsi="Times New Roman" w:cs="Times New Roman"/>
          <w:sz w:val="25"/>
          <w:szCs w:val="25"/>
          <w:lang w:val="uk-UA"/>
        </w:rPr>
        <w:t>надзвичайних ситуацій техногенного та природного характеру.</w:t>
      </w:r>
    </w:p>
    <w:p w:rsidR="00B611BE" w:rsidRPr="004A0724" w:rsidRDefault="00066735" w:rsidP="002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4A0724">
        <w:rPr>
          <w:rFonts w:ascii="Times New Roman" w:hAnsi="Times New Roman" w:cs="Times New Roman"/>
          <w:sz w:val="25"/>
          <w:szCs w:val="25"/>
          <w:lang w:val="uk-UA"/>
        </w:rPr>
        <w:t>Визначальною нормою регулювання правового статусу майна особи, яка була оголошена померлою, є ст.47</w:t>
      </w:r>
      <w:r w:rsidR="00E91DE1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 Цивільного кодексу України, яка зазначає, що спадкоємці фізичної особи, яка оголошена померлою, </w:t>
      </w:r>
      <w:r w:rsidR="00690A91" w:rsidRPr="004A0724">
        <w:rPr>
          <w:rFonts w:ascii="Times New Roman" w:hAnsi="Times New Roman" w:cs="Times New Roman"/>
          <w:sz w:val="25"/>
          <w:szCs w:val="25"/>
          <w:lang w:val="uk-UA"/>
        </w:rPr>
        <w:t>не мають права відчужувати</w:t>
      </w:r>
      <w:r w:rsidR="00B611BE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 протягом п’яти років нерухоме майно, що перейшло до них у зв’язку з відкриттям спадщини. А нотаріус, який видав спадкоємцеві свідоцтво про право на спадщину на нерухоме майно, накладає на нього заборону відчуження. </w:t>
      </w:r>
    </w:p>
    <w:p w:rsidR="00143E7A" w:rsidRPr="004A0724" w:rsidRDefault="00E91CD1" w:rsidP="002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4A0724">
        <w:rPr>
          <w:rFonts w:ascii="Times New Roman" w:hAnsi="Times New Roman" w:cs="Times New Roman"/>
          <w:sz w:val="25"/>
          <w:szCs w:val="25"/>
          <w:lang w:val="uk-UA"/>
        </w:rPr>
        <w:t>Ю</w:t>
      </w:r>
      <w:r w:rsidR="00B611BE" w:rsidRPr="004A0724">
        <w:rPr>
          <w:rFonts w:ascii="Times New Roman" w:hAnsi="Times New Roman" w:cs="Times New Roman"/>
          <w:sz w:val="25"/>
          <w:szCs w:val="25"/>
          <w:lang w:val="uk-UA"/>
        </w:rPr>
        <w:t>ридичними наслідками вступу в силу рішення суду про оголошення особи померлою визнається відкриття спадщини і поява в спадкоємців такої особи (за заповітом та /або за законом) права на прийняття спадщини або на відмову від її прийняття відповідно до ст.ст.1220-1223, 1268-1276</w:t>
      </w:r>
      <w:r w:rsidR="00100976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 Цивільного кодексу України.</w:t>
      </w:r>
      <w:r w:rsidR="00362E55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 Поряд із цим законодавець прагне захистити права та законні інтереси даної особи в разі її з’явлення. </w:t>
      </w:r>
      <w:r w:rsidR="005568C8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З цією метою ч.2 зазначеної статті забороняє спадкоємцям особи, оголошеної померлою, відчужувати протягом п’яти років нерухоме майно, яке перейшло до них у </w:t>
      </w:r>
      <w:r w:rsidR="00045102" w:rsidRPr="004A0724">
        <w:rPr>
          <w:rFonts w:ascii="Times New Roman" w:hAnsi="Times New Roman" w:cs="Times New Roman"/>
          <w:sz w:val="25"/>
          <w:szCs w:val="25"/>
          <w:lang w:val="uk-UA"/>
        </w:rPr>
        <w:t>зв’язку</w:t>
      </w:r>
      <w:r w:rsidR="005568C8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 з відкриттям спадщини</w:t>
      </w:r>
      <w:r w:rsidR="003D54FD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. Вказаний п’ятирічний строк слід вираховувати з наступного дня після виникнення в них права власності на це майно, тобто після державної реєстрації свідоцтва права на спадщину на нерухоме майно. Слід підкреслити, що зазначене обмеження стосується винятково </w:t>
      </w:r>
      <w:r w:rsidR="00135B39" w:rsidRPr="004A0724">
        <w:rPr>
          <w:rFonts w:ascii="Times New Roman" w:hAnsi="Times New Roman" w:cs="Times New Roman"/>
          <w:sz w:val="25"/>
          <w:szCs w:val="25"/>
          <w:lang w:val="uk-UA"/>
        </w:rPr>
        <w:t>спадкоємців, а відтак не поширюється на інших суб’єктів, які можуть набути право власності на майно спадкодавця – кредиторів, відказ одержувачів, виконавців заповіту, охоронця спадщини. Забезпечення виконання цієї норми здійснюється шляхом накладення нотаріусом на це майно заборони відчуження.</w:t>
      </w:r>
    </w:p>
    <w:p w:rsidR="00FB7DF5" w:rsidRPr="004A0724" w:rsidRDefault="00A834B4" w:rsidP="002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4A0724">
        <w:rPr>
          <w:rFonts w:ascii="Times New Roman" w:hAnsi="Times New Roman"/>
          <w:sz w:val="25"/>
          <w:szCs w:val="25"/>
          <w:lang w:val="uk-UA"/>
        </w:rPr>
        <w:t xml:space="preserve">Відповідно до п.п.3.2 п.3 гл.15 р. ІІ Порядку вчинення нотаріальних дій нотаріусами України, затвердженого </w:t>
      </w:r>
      <w:r w:rsidR="00821717">
        <w:rPr>
          <w:rFonts w:ascii="Times New Roman" w:hAnsi="Times New Roman"/>
          <w:sz w:val="25"/>
          <w:szCs w:val="25"/>
          <w:lang w:val="uk-UA"/>
        </w:rPr>
        <w:t>н</w:t>
      </w:r>
      <w:r w:rsidRPr="004A0724">
        <w:rPr>
          <w:rFonts w:ascii="Times New Roman" w:hAnsi="Times New Roman"/>
          <w:sz w:val="25"/>
          <w:szCs w:val="25"/>
          <w:lang w:val="uk-UA"/>
        </w:rPr>
        <w:t xml:space="preserve">аказом Міністерства юстиції України </w:t>
      </w:r>
      <w:r w:rsidR="00821717">
        <w:rPr>
          <w:rFonts w:ascii="Times New Roman" w:hAnsi="Times New Roman"/>
          <w:sz w:val="25"/>
          <w:szCs w:val="25"/>
          <w:lang w:val="uk-UA"/>
        </w:rPr>
        <w:t xml:space="preserve">від </w:t>
      </w:r>
      <w:r w:rsidRPr="004A0724">
        <w:rPr>
          <w:rFonts w:ascii="Times New Roman" w:hAnsi="Times New Roman"/>
          <w:sz w:val="25"/>
          <w:szCs w:val="25"/>
          <w:lang w:val="uk-UA"/>
        </w:rPr>
        <w:t xml:space="preserve">22.02.2012 р. № 296/5, </w:t>
      </w:r>
      <w:r w:rsidRPr="004A0724">
        <w:rPr>
          <w:rFonts w:ascii="Times New Roman" w:hAnsi="Times New Roman" w:cs="Times New Roman"/>
          <w:sz w:val="25"/>
          <w:szCs w:val="25"/>
          <w:lang w:val="uk-UA"/>
        </w:rPr>
        <w:t>н</w:t>
      </w:r>
      <w:r w:rsidR="00D40865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акладання заборони щодо відчуження за спадковим договором, договором довічного утримання (догляду), застави (іпотеки), а також при видачі свідоцтва про право на спадщину на нерухоме майно спадкоємцям фізичної особи, оголошеної померлою, проводиться шляхом вчинення </w:t>
      </w:r>
      <w:r w:rsidR="00DB32BA" w:rsidRPr="004A0724">
        <w:rPr>
          <w:rFonts w:ascii="Times New Roman" w:hAnsi="Times New Roman" w:cs="Times New Roman"/>
          <w:sz w:val="25"/>
          <w:szCs w:val="25"/>
          <w:lang w:val="uk-UA"/>
        </w:rPr>
        <w:t>посвідчу</w:t>
      </w:r>
      <w:r w:rsidR="00151A50" w:rsidRPr="004A0724">
        <w:rPr>
          <w:rFonts w:ascii="Times New Roman" w:hAnsi="Times New Roman" w:cs="Times New Roman"/>
          <w:sz w:val="25"/>
          <w:szCs w:val="25"/>
          <w:lang w:val="uk-UA"/>
        </w:rPr>
        <w:t>вального напису на всіх примірниках</w:t>
      </w:r>
      <w:r w:rsidR="009D0708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 договору або свідоцтва про право на спадщину.</w:t>
      </w:r>
      <w:r w:rsidR="003022DB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</w:p>
    <w:p w:rsidR="00783807" w:rsidRPr="004A0724" w:rsidRDefault="00FB7DF5" w:rsidP="002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4A0724">
        <w:rPr>
          <w:rFonts w:ascii="Times New Roman" w:hAnsi="Times New Roman"/>
          <w:sz w:val="25"/>
          <w:szCs w:val="25"/>
          <w:lang w:val="uk-UA"/>
        </w:rPr>
        <w:t xml:space="preserve">Відповідно до п.п.4.1 п.4 гл.15 р. ІІ Порядку вчинення нотаріальних дій нотаріусами України, затвердженого </w:t>
      </w:r>
      <w:r w:rsidR="00821717">
        <w:rPr>
          <w:rFonts w:ascii="Times New Roman" w:hAnsi="Times New Roman"/>
          <w:sz w:val="25"/>
          <w:szCs w:val="25"/>
          <w:lang w:val="uk-UA"/>
        </w:rPr>
        <w:t>н</w:t>
      </w:r>
      <w:r w:rsidRPr="004A0724">
        <w:rPr>
          <w:rFonts w:ascii="Times New Roman" w:hAnsi="Times New Roman"/>
          <w:sz w:val="25"/>
          <w:szCs w:val="25"/>
          <w:lang w:val="uk-UA"/>
        </w:rPr>
        <w:t xml:space="preserve">аказом Міністерства юстиції України </w:t>
      </w:r>
      <w:r w:rsidR="00821717">
        <w:rPr>
          <w:rFonts w:ascii="Times New Roman" w:hAnsi="Times New Roman"/>
          <w:sz w:val="25"/>
          <w:szCs w:val="25"/>
          <w:lang w:val="uk-UA"/>
        </w:rPr>
        <w:t xml:space="preserve">від </w:t>
      </w:r>
      <w:r w:rsidRPr="004A0724">
        <w:rPr>
          <w:rFonts w:ascii="Times New Roman" w:hAnsi="Times New Roman"/>
          <w:sz w:val="25"/>
          <w:szCs w:val="25"/>
          <w:lang w:val="uk-UA"/>
        </w:rPr>
        <w:t>22.02.2012р.</w:t>
      </w:r>
      <w:r w:rsidR="00D05DF0">
        <w:rPr>
          <w:rFonts w:ascii="Times New Roman" w:hAnsi="Times New Roman"/>
          <w:sz w:val="25"/>
          <w:szCs w:val="25"/>
          <w:lang w:val="uk-UA"/>
        </w:rPr>
        <w:t xml:space="preserve"> </w:t>
      </w:r>
      <w:r w:rsidRPr="004A0724">
        <w:rPr>
          <w:rFonts w:ascii="Times New Roman" w:hAnsi="Times New Roman"/>
          <w:sz w:val="25"/>
          <w:szCs w:val="25"/>
          <w:lang w:val="uk-UA"/>
        </w:rPr>
        <w:t xml:space="preserve">№ 296/5, </w:t>
      </w:r>
      <w:r w:rsidRPr="004A0724">
        <w:rPr>
          <w:rFonts w:ascii="Times New Roman" w:hAnsi="Times New Roman" w:cs="Times New Roman"/>
          <w:sz w:val="25"/>
          <w:szCs w:val="25"/>
          <w:lang w:val="uk-UA"/>
        </w:rPr>
        <w:t>н</w:t>
      </w:r>
      <w:r w:rsidR="003022DB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акладання заборони щодо відчуження майна реєструється нотаріусами в реєстрі для реєстрації нотаріальних дій та реєстрі для реєстрації заборон відчуження </w:t>
      </w:r>
      <w:r w:rsidR="00034E2E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нерухомого та рухомого майна, арештів, </w:t>
      </w:r>
      <w:r w:rsidR="00723E72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накладених на майно судами, </w:t>
      </w:r>
      <w:r w:rsidR="00826F64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слідчими </w:t>
      </w:r>
      <w:r w:rsidR="00023F7B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органами, і реєстрації зняття таких заборон та арештів. </w:t>
      </w:r>
      <w:r w:rsidR="005573CD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Про накладені </w:t>
      </w:r>
      <w:r w:rsidR="00C67EE6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заборони </w:t>
      </w:r>
      <w:r w:rsidR="00571B2E" w:rsidRPr="004A0724">
        <w:rPr>
          <w:rFonts w:ascii="Times New Roman" w:hAnsi="Times New Roman" w:cs="Times New Roman"/>
          <w:sz w:val="25"/>
          <w:szCs w:val="25"/>
          <w:lang w:val="uk-UA"/>
        </w:rPr>
        <w:t>щодо відчуженн</w:t>
      </w:r>
      <w:r w:rsidR="00E50FEA" w:rsidRPr="004A0724">
        <w:rPr>
          <w:rFonts w:ascii="Times New Roman" w:hAnsi="Times New Roman" w:cs="Times New Roman"/>
          <w:sz w:val="25"/>
          <w:szCs w:val="25"/>
          <w:lang w:val="uk-UA"/>
        </w:rPr>
        <w:t>я</w:t>
      </w:r>
      <w:r w:rsidR="00571B2E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 робиться запис в Алфавітній книзі обліку реєстрації заборон </w:t>
      </w:r>
      <w:r w:rsidR="00E50FEA" w:rsidRPr="004A0724">
        <w:rPr>
          <w:rFonts w:ascii="Times New Roman" w:hAnsi="Times New Roman" w:cs="Times New Roman"/>
          <w:sz w:val="25"/>
          <w:szCs w:val="25"/>
          <w:lang w:val="uk-UA"/>
        </w:rPr>
        <w:t>відчуження нерухомого та рухомого майна, а також</w:t>
      </w:r>
      <w:r w:rsidR="006C4F25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 арештів, накладених на таке </w:t>
      </w:r>
      <w:r w:rsidR="006672A7" w:rsidRPr="004A0724">
        <w:rPr>
          <w:rFonts w:ascii="Times New Roman" w:hAnsi="Times New Roman" w:cs="Times New Roman"/>
          <w:sz w:val="25"/>
          <w:szCs w:val="25"/>
          <w:lang w:val="uk-UA"/>
        </w:rPr>
        <w:t>майно судами, слідчими органами, і реєстрації зняття таких заборон та арештів.</w:t>
      </w:r>
      <w:r w:rsidR="0022612A" w:rsidRPr="004A0724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</w:p>
    <w:p w:rsidR="00FF5B9C" w:rsidRPr="004A0724" w:rsidRDefault="00FF5B9C" w:rsidP="002E584B">
      <w:pPr>
        <w:pStyle w:val="a3"/>
        <w:spacing w:after="0"/>
        <w:ind w:left="0"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4A0724">
        <w:rPr>
          <w:rFonts w:ascii="Times New Roman" w:hAnsi="Times New Roman"/>
          <w:sz w:val="25"/>
          <w:szCs w:val="25"/>
          <w:lang w:val="uk-UA"/>
        </w:rPr>
        <w:t>Керуючись п.п.</w:t>
      </w:r>
      <w:r w:rsidR="008B46D5" w:rsidRPr="004A0724">
        <w:rPr>
          <w:rFonts w:ascii="Times New Roman" w:hAnsi="Times New Roman"/>
          <w:sz w:val="25"/>
          <w:szCs w:val="25"/>
          <w:lang w:val="uk-UA"/>
        </w:rPr>
        <w:t>5</w:t>
      </w:r>
      <w:r w:rsidRPr="004A0724">
        <w:rPr>
          <w:rFonts w:ascii="Times New Roman" w:hAnsi="Times New Roman"/>
          <w:sz w:val="25"/>
          <w:szCs w:val="25"/>
          <w:lang w:val="uk-UA"/>
        </w:rPr>
        <w:t>.</w:t>
      </w:r>
      <w:r w:rsidR="008B46D5" w:rsidRPr="004A0724">
        <w:rPr>
          <w:rFonts w:ascii="Times New Roman" w:hAnsi="Times New Roman"/>
          <w:sz w:val="25"/>
          <w:szCs w:val="25"/>
          <w:lang w:val="uk-UA"/>
        </w:rPr>
        <w:t>1</w:t>
      </w:r>
      <w:r w:rsidRPr="004A0724">
        <w:rPr>
          <w:rFonts w:ascii="Times New Roman" w:hAnsi="Times New Roman"/>
          <w:sz w:val="25"/>
          <w:szCs w:val="25"/>
          <w:lang w:val="uk-UA"/>
        </w:rPr>
        <w:t xml:space="preserve"> п.</w:t>
      </w:r>
      <w:r w:rsidR="008B46D5" w:rsidRPr="004A0724">
        <w:rPr>
          <w:rFonts w:ascii="Times New Roman" w:hAnsi="Times New Roman"/>
          <w:sz w:val="25"/>
          <w:szCs w:val="25"/>
          <w:lang w:val="uk-UA"/>
        </w:rPr>
        <w:t>5</w:t>
      </w:r>
      <w:r w:rsidRPr="004A0724">
        <w:rPr>
          <w:rFonts w:ascii="Times New Roman" w:hAnsi="Times New Roman"/>
          <w:sz w:val="25"/>
          <w:szCs w:val="25"/>
          <w:lang w:val="uk-UA"/>
        </w:rPr>
        <w:t xml:space="preserve"> гл.15 р. ІІ Порядку вчинення нотаріальних дій нотаріусами України, затвердженого </w:t>
      </w:r>
      <w:r w:rsidR="00821717">
        <w:rPr>
          <w:rFonts w:ascii="Times New Roman" w:hAnsi="Times New Roman"/>
          <w:sz w:val="25"/>
          <w:szCs w:val="25"/>
          <w:lang w:val="uk-UA"/>
        </w:rPr>
        <w:t>н</w:t>
      </w:r>
      <w:r w:rsidRPr="004A0724">
        <w:rPr>
          <w:rFonts w:ascii="Times New Roman" w:hAnsi="Times New Roman"/>
          <w:sz w:val="25"/>
          <w:szCs w:val="25"/>
          <w:lang w:val="uk-UA"/>
        </w:rPr>
        <w:t xml:space="preserve">аказом Міністерства юстиції України </w:t>
      </w:r>
      <w:r w:rsidR="00821717">
        <w:rPr>
          <w:rFonts w:ascii="Times New Roman" w:hAnsi="Times New Roman"/>
          <w:sz w:val="25"/>
          <w:szCs w:val="25"/>
          <w:lang w:val="uk-UA"/>
        </w:rPr>
        <w:t xml:space="preserve">від </w:t>
      </w:r>
      <w:r w:rsidRPr="004A0724">
        <w:rPr>
          <w:rFonts w:ascii="Times New Roman" w:hAnsi="Times New Roman"/>
          <w:sz w:val="25"/>
          <w:szCs w:val="25"/>
          <w:lang w:val="uk-UA"/>
        </w:rPr>
        <w:t xml:space="preserve">22.02.2012 р. </w:t>
      </w:r>
      <w:r w:rsidR="00821717">
        <w:rPr>
          <w:rFonts w:ascii="Times New Roman" w:hAnsi="Times New Roman"/>
          <w:sz w:val="25"/>
          <w:szCs w:val="25"/>
          <w:lang w:val="uk-UA"/>
        </w:rPr>
        <w:t xml:space="preserve">         </w:t>
      </w:r>
      <w:r w:rsidRPr="004A0724">
        <w:rPr>
          <w:rFonts w:ascii="Times New Roman" w:hAnsi="Times New Roman"/>
          <w:sz w:val="25"/>
          <w:szCs w:val="25"/>
          <w:lang w:val="uk-UA"/>
        </w:rPr>
        <w:t>№ 296/5,</w:t>
      </w:r>
      <w:r w:rsidR="006C7FAD" w:rsidRPr="004A0724">
        <w:rPr>
          <w:rFonts w:ascii="Times New Roman" w:hAnsi="Times New Roman"/>
          <w:sz w:val="25"/>
          <w:szCs w:val="25"/>
          <w:lang w:val="uk-UA"/>
        </w:rPr>
        <w:t xml:space="preserve"> нотаріус знімає заборону відчуження майна</w:t>
      </w:r>
      <w:r w:rsidR="009D3E4E" w:rsidRPr="004A0724"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D4591D" w:rsidRPr="004A0724">
        <w:rPr>
          <w:rFonts w:ascii="Times New Roman" w:hAnsi="Times New Roman"/>
          <w:sz w:val="25"/>
          <w:szCs w:val="25"/>
          <w:lang w:val="uk-UA"/>
        </w:rPr>
        <w:t xml:space="preserve">при одержанні повідомлення про </w:t>
      </w:r>
      <w:r w:rsidR="004572E1" w:rsidRPr="004A0724">
        <w:rPr>
          <w:rFonts w:ascii="Times New Roman" w:hAnsi="Times New Roman"/>
          <w:sz w:val="25"/>
          <w:szCs w:val="25"/>
          <w:lang w:val="uk-UA"/>
        </w:rPr>
        <w:t xml:space="preserve">скасування рішення </w:t>
      </w:r>
      <w:r w:rsidR="0012699B" w:rsidRPr="004A0724">
        <w:rPr>
          <w:rFonts w:ascii="Times New Roman" w:hAnsi="Times New Roman"/>
          <w:sz w:val="25"/>
          <w:szCs w:val="25"/>
          <w:lang w:val="uk-UA"/>
        </w:rPr>
        <w:t xml:space="preserve">суду про оголошення фізичної особи померлою або закінчення </w:t>
      </w:r>
      <w:r w:rsidR="0012699B" w:rsidRPr="004A0724">
        <w:rPr>
          <w:rFonts w:ascii="Times New Roman" w:hAnsi="Times New Roman"/>
          <w:sz w:val="25"/>
          <w:szCs w:val="25"/>
          <w:lang w:val="uk-UA"/>
        </w:rPr>
        <w:lastRenderedPageBreak/>
        <w:t>п’ятирічного строку з часу відкриття спадщини на майно особи, оголошеної померлою.</w:t>
      </w:r>
    </w:p>
    <w:p w:rsidR="00073654" w:rsidRPr="004A0724" w:rsidRDefault="00073654" w:rsidP="002E584B">
      <w:pPr>
        <w:pStyle w:val="a3"/>
        <w:spacing w:after="0"/>
        <w:ind w:left="0"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4A0724">
        <w:rPr>
          <w:rFonts w:ascii="Times New Roman" w:hAnsi="Times New Roman"/>
          <w:sz w:val="25"/>
          <w:szCs w:val="25"/>
          <w:lang w:val="uk-UA"/>
        </w:rPr>
        <w:t>Якщо заборону знімає</w:t>
      </w:r>
      <w:r w:rsidR="00D01266" w:rsidRPr="004A0724">
        <w:rPr>
          <w:rFonts w:ascii="Times New Roman" w:hAnsi="Times New Roman"/>
          <w:sz w:val="25"/>
          <w:szCs w:val="25"/>
          <w:lang w:val="uk-UA"/>
        </w:rPr>
        <w:t xml:space="preserve"> нотаріус, який її не накладав, він направляє за місцем зберігання справи</w:t>
      </w:r>
      <w:r w:rsidR="005F3F06" w:rsidRPr="004A0724">
        <w:rPr>
          <w:rFonts w:ascii="Times New Roman" w:hAnsi="Times New Roman"/>
          <w:sz w:val="25"/>
          <w:szCs w:val="25"/>
          <w:lang w:val="uk-UA"/>
        </w:rPr>
        <w:t>, що містить відомості про накладання заборони, повідомлення про зняття заборони.</w:t>
      </w:r>
    </w:p>
    <w:p w:rsidR="00783807" w:rsidRPr="004A0724" w:rsidRDefault="00783807" w:rsidP="002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735AD1" w:rsidRPr="004A0724" w:rsidRDefault="00735AD1" w:rsidP="00F376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F7207C" w:rsidRPr="004A0724" w:rsidRDefault="00F7207C" w:rsidP="00F7207C">
      <w:pPr>
        <w:pStyle w:val="a6"/>
        <w:rPr>
          <w:rFonts w:ascii="Times New Roman" w:hAnsi="Times New Roman"/>
          <w:b/>
          <w:i/>
          <w:sz w:val="25"/>
          <w:szCs w:val="25"/>
          <w:lang w:val="uk-UA"/>
        </w:rPr>
      </w:pPr>
      <w:r w:rsidRPr="004A0724">
        <w:rPr>
          <w:rFonts w:ascii="Times New Roman" w:hAnsi="Times New Roman"/>
          <w:b/>
          <w:i/>
          <w:sz w:val="25"/>
          <w:szCs w:val="25"/>
          <w:lang w:val="uk-UA"/>
        </w:rPr>
        <w:t>Завідувач</w:t>
      </w:r>
    </w:p>
    <w:p w:rsidR="00F7207C" w:rsidRPr="004A0724" w:rsidRDefault="00F7207C" w:rsidP="00F7207C">
      <w:pPr>
        <w:pStyle w:val="a6"/>
        <w:rPr>
          <w:rFonts w:ascii="Times New Roman" w:hAnsi="Times New Roman"/>
          <w:b/>
          <w:i/>
          <w:sz w:val="25"/>
          <w:szCs w:val="25"/>
          <w:lang w:val="uk-UA"/>
        </w:rPr>
      </w:pPr>
      <w:r w:rsidRPr="004A0724">
        <w:rPr>
          <w:rFonts w:ascii="Times New Roman" w:hAnsi="Times New Roman"/>
          <w:b/>
          <w:i/>
          <w:sz w:val="25"/>
          <w:szCs w:val="25"/>
          <w:lang w:val="uk-UA"/>
        </w:rPr>
        <w:t xml:space="preserve">Чотирнадцятої київської державної  </w:t>
      </w:r>
    </w:p>
    <w:p w:rsidR="00821717" w:rsidRDefault="00F7207C" w:rsidP="00F7207C">
      <w:pPr>
        <w:pStyle w:val="a6"/>
        <w:rPr>
          <w:rFonts w:ascii="Times New Roman" w:hAnsi="Times New Roman"/>
          <w:b/>
          <w:i/>
          <w:sz w:val="25"/>
          <w:szCs w:val="25"/>
          <w:lang w:val="uk-UA"/>
        </w:rPr>
      </w:pPr>
      <w:r w:rsidRPr="004A0724">
        <w:rPr>
          <w:rFonts w:ascii="Times New Roman" w:hAnsi="Times New Roman"/>
          <w:b/>
          <w:i/>
          <w:sz w:val="25"/>
          <w:szCs w:val="25"/>
          <w:lang w:val="uk-UA"/>
        </w:rPr>
        <w:t xml:space="preserve">нотаріальної контори                  </w:t>
      </w:r>
    </w:p>
    <w:p w:rsidR="00F7207C" w:rsidRPr="004A0724" w:rsidRDefault="00476EDB" w:rsidP="00F7207C">
      <w:pPr>
        <w:pStyle w:val="a6"/>
        <w:rPr>
          <w:sz w:val="25"/>
          <w:szCs w:val="25"/>
          <w:lang w:val="uk-UA"/>
        </w:rPr>
      </w:pPr>
      <w:bookmarkStart w:id="0" w:name="_GoBack"/>
      <w:bookmarkEnd w:id="0"/>
      <w:r w:rsidRPr="004A0724">
        <w:rPr>
          <w:rFonts w:ascii="Times New Roman" w:hAnsi="Times New Roman"/>
          <w:b/>
          <w:i/>
          <w:sz w:val="25"/>
          <w:szCs w:val="25"/>
          <w:lang w:val="uk-UA"/>
        </w:rPr>
        <w:t>О.І.</w:t>
      </w:r>
      <w:proofErr w:type="spellStart"/>
      <w:r w:rsidRPr="004A0724">
        <w:rPr>
          <w:rFonts w:ascii="Times New Roman" w:hAnsi="Times New Roman"/>
          <w:b/>
          <w:i/>
          <w:sz w:val="25"/>
          <w:szCs w:val="25"/>
          <w:lang w:val="uk-UA"/>
        </w:rPr>
        <w:t>Пилипчук</w:t>
      </w:r>
      <w:proofErr w:type="spellEnd"/>
      <w:r w:rsidR="00F7207C" w:rsidRPr="004A0724">
        <w:rPr>
          <w:rFonts w:ascii="Times New Roman" w:hAnsi="Times New Roman"/>
          <w:b/>
          <w:i/>
          <w:sz w:val="25"/>
          <w:szCs w:val="25"/>
          <w:lang w:val="uk-UA"/>
        </w:rPr>
        <w:t xml:space="preserve">                                                                     </w:t>
      </w:r>
    </w:p>
    <w:p w:rsidR="005179FF" w:rsidRPr="004A0724" w:rsidRDefault="005179FF" w:rsidP="00D340B3">
      <w:pPr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sectPr w:rsidR="005179FF" w:rsidRPr="004A0724" w:rsidSect="008C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2BD2"/>
    <w:multiLevelType w:val="hybridMultilevel"/>
    <w:tmpl w:val="22A43E68"/>
    <w:lvl w:ilvl="0" w:tplc="6EA05E8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178EC"/>
    <w:rsid w:val="00012D71"/>
    <w:rsid w:val="00023F7B"/>
    <w:rsid w:val="00034E2E"/>
    <w:rsid w:val="00045102"/>
    <w:rsid w:val="00066735"/>
    <w:rsid w:val="00073654"/>
    <w:rsid w:val="000C6A29"/>
    <w:rsid w:val="000E053A"/>
    <w:rsid w:val="000F797B"/>
    <w:rsid w:val="00100976"/>
    <w:rsid w:val="0012699B"/>
    <w:rsid w:val="00135B39"/>
    <w:rsid w:val="00143E7A"/>
    <w:rsid w:val="00151A50"/>
    <w:rsid w:val="001611C8"/>
    <w:rsid w:val="00191C9E"/>
    <w:rsid w:val="00196A85"/>
    <w:rsid w:val="001B7AFD"/>
    <w:rsid w:val="0020538C"/>
    <w:rsid w:val="0022612A"/>
    <w:rsid w:val="002353BD"/>
    <w:rsid w:val="0023662E"/>
    <w:rsid w:val="002E584B"/>
    <w:rsid w:val="003022DB"/>
    <w:rsid w:val="003541F3"/>
    <w:rsid w:val="00362E55"/>
    <w:rsid w:val="003D54FD"/>
    <w:rsid w:val="003F5D67"/>
    <w:rsid w:val="0040166F"/>
    <w:rsid w:val="00415EDA"/>
    <w:rsid w:val="00433078"/>
    <w:rsid w:val="004572E1"/>
    <w:rsid w:val="00466A64"/>
    <w:rsid w:val="00467FA8"/>
    <w:rsid w:val="00476EDB"/>
    <w:rsid w:val="004A0724"/>
    <w:rsid w:val="004D02F3"/>
    <w:rsid w:val="005179FF"/>
    <w:rsid w:val="00524B24"/>
    <w:rsid w:val="005425D8"/>
    <w:rsid w:val="005511E8"/>
    <w:rsid w:val="005568C8"/>
    <w:rsid w:val="005573CD"/>
    <w:rsid w:val="00571B2E"/>
    <w:rsid w:val="005C23E7"/>
    <w:rsid w:val="005D56F7"/>
    <w:rsid w:val="005F3F06"/>
    <w:rsid w:val="005F4A26"/>
    <w:rsid w:val="006111D3"/>
    <w:rsid w:val="006243D7"/>
    <w:rsid w:val="006672A7"/>
    <w:rsid w:val="00690A91"/>
    <w:rsid w:val="006C4F25"/>
    <w:rsid w:val="006C6F86"/>
    <w:rsid w:val="006C7FAD"/>
    <w:rsid w:val="006D5EDD"/>
    <w:rsid w:val="00723E72"/>
    <w:rsid w:val="00735AD1"/>
    <w:rsid w:val="00776555"/>
    <w:rsid w:val="0078285D"/>
    <w:rsid w:val="00783807"/>
    <w:rsid w:val="0079020E"/>
    <w:rsid w:val="00811F93"/>
    <w:rsid w:val="00821717"/>
    <w:rsid w:val="00826F64"/>
    <w:rsid w:val="008B46D5"/>
    <w:rsid w:val="008C5B6D"/>
    <w:rsid w:val="008C734C"/>
    <w:rsid w:val="009178EC"/>
    <w:rsid w:val="00953814"/>
    <w:rsid w:val="00985C3F"/>
    <w:rsid w:val="00993040"/>
    <w:rsid w:val="009B08EC"/>
    <w:rsid w:val="009D0708"/>
    <w:rsid w:val="009D3E4E"/>
    <w:rsid w:val="009E7B84"/>
    <w:rsid w:val="00A601A3"/>
    <w:rsid w:val="00A834B4"/>
    <w:rsid w:val="00AC068B"/>
    <w:rsid w:val="00AC401E"/>
    <w:rsid w:val="00AD04D0"/>
    <w:rsid w:val="00AE75DA"/>
    <w:rsid w:val="00B611BE"/>
    <w:rsid w:val="00B64163"/>
    <w:rsid w:val="00C67EE6"/>
    <w:rsid w:val="00CA5833"/>
    <w:rsid w:val="00CA58F1"/>
    <w:rsid w:val="00CC489D"/>
    <w:rsid w:val="00CF5C98"/>
    <w:rsid w:val="00D01266"/>
    <w:rsid w:val="00D05DF0"/>
    <w:rsid w:val="00D2717A"/>
    <w:rsid w:val="00D340B3"/>
    <w:rsid w:val="00D401F6"/>
    <w:rsid w:val="00D40865"/>
    <w:rsid w:val="00D4591D"/>
    <w:rsid w:val="00DB32BA"/>
    <w:rsid w:val="00DE3F02"/>
    <w:rsid w:val="00E50FEA"/>
    <w:rsid w:val="00E523D5"/>
    <w:rsid w:val="00E9058A"/>
    <w:rsid w:val="00E91CD1"/>
    <w:rsid w:val="00E91DE1"/>
    <w:rsid w:val="00EA2266"/>
    <w:rsid w:val="00EE79C9"/>
    <w:rsid w:val="00F376E4"/>
    <w:rsid w:val="00F56E8F"/>
    <w:rsid w:val="00F7207C"/>
    <w:rsid w:val="00FA0954"/>
    <w:rsid w:val="00FB7DF5"/>
    <w:rsid w:val="00FF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67"/>
    <w:pPr>
      <w:ind w:left="720"/>
      <w:contextualSpacing/>
    </w:pPr>
  </w:style>
  <w:style w:type="paragraph" w:styleId="2">
    <w:name w:val="Body Text Indent 2"/>
    <w:basedOn w:val="a"/>
    <w:link w:val="20"/>
    <w:rsid w:val="005511E8"/>
    <w:pPr>
      <w:spacing w:after="0" w:line="240" w:lineRule="auto"/>
      <w:ind w:left="5040"/>
    </w:pPr>
    <w:rPr>
      <w:rFonts w:ascii="Courier New" w:eastAsia="Times New Roman" w:hAnsi="Courier New" w:cs="Times New Roman"/>
      <w:b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511E8"/>
    <w:rPr>
      <w:rFonts w:ascii="Courier New" w:eastAsia="Times New Roman" w:hAnsi="Courier New" w:cs="Times New Roman"/>
      <w:b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C9E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F7207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7207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67"/>
    <w:pPr>
      <w:ind w:left="720"/>
      <w:contextualSpacing/>
    </w:pPr>
  </w:style>
  <w:style w:type="paragraph" w:styleId="2">
    <w:name w:val="Body Text Indent 2"/>
    <w:basedOn w:val="a"/>
    <w:link w:val="20"/>
    <w:rsid w:val="005511E8"/>
    <w:pPr>
      <w:spacing w:after="0" w:line="240" w:lineRule="auto"/>
      <w:ind w:left="5040"/>
    </w:pPr>
    <w:rPr>
      <w:rFonts w:ascii="Courier New" w:eastAsia="Times New Roman" w:hAnsi="Courier New" w:cs="Times New Roman"/>
      <w:b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511E8"/>
    <w:rPr>
      <w:rFonts w:ascii="Courier New" w:eastAsia="Times New Roman" w:hAnsi="Courier New" w:cs="Times New Roman"/>
      <w:b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C9E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F7207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7207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4118</Words>
  <Characters>2348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6</cp:revision>
  <cp:lastPrinted>2018-12-21T12:40:00Z</cp:lastPrinted>
  <dcterms:created xsi:type="dcterms:W3CDTF">2018-12-22T12:22:00Z</dcterms:created>
  <dcterms:modified xsi:type="dcterms:W3CDTF">2018-12-26T07:53:00Z</dcterms:modified>
</cp:coreProperties>
</file>