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24" w:rsidRPr="00363297" w:rsidRDefault="00A35CD5" w:rsidP="00E13C29">
      <w:pPr>
        <w:pStyle w:val="a8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Порядок в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иїзд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за кордон неповнолітніх</w:t>
      </w:r>
      <w:r w:rsidR="00E13C29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дітей</w:t>
      </w:r>
    </w:p>
    <w:p w:rsidR="00882DC9" w:rsidRPr="00363297" w:rsidRDefault="00882DC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DC9" w:rsidRPr="00363297" w:rsidRDefault="00882DC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Дуже часто під час планування </w:t>
      </w:r>
      <w:hyperlink r:id="rId5" w:tgtFrame="_blank" w:history="1">
        <w:r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>подорожі за кордон із</w:t>
        </w:r>
        <w:r w:rsidR="00077D48"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 xml:space="preserve"> </w:t>
        </w:r>
        <w:r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>дітьми</w:t>
        </w:r>
      </w:hyperlink>
      <w:r w:rsidRPr="00363297">
        <w:rPr>
          <w:rFonts w:ascii="Times New Roman" w:hAnsi="Times New Roman" w:cs="Times New Roman"/>
          <w:sz w:val="28"/>
          <w:szCs w:val="28"/>
          <w:lang w:val="uk-UA"/>
        </w:rPr>
        <w:t> батьки часто стикаються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заплутаним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виїзду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неповнолітніх за кордон. Питання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стосовно того, чи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потрібен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дозвіл одного чи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батьків, як бути, якщо батьки розлучені, яким є термін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батьків на </w:t>
      </w:r>
      <w:hyperlink r:id="rId6" w:tgtFrame="_blank" w:history="1">
        <w:r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>виїзд</w:t>
        </w:r>
        <w:r w:rsidR="00077D48"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 xml:space="preserve"> </w:t>
        </w:r>
        <w:r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>дитини за кордон</w:t>
        </w:r>
      </w:hyperlink>
      <w:r w:rsidRPr="00363297">
        <w:rPr>
          <w:rFonts w:ascii="Times New Roman" w:hAnsi="Times New Roman" w:cs="Times New Roman"/>
          <w:sz w:val="28"/>
          <w:szCs w:val="28"/>
          <w:lang w:val="uk-UA"/>
        </w:rPr>
        <w:t> тощо.</w:t>
      </w:r>
    </w:p>
    <w:p w:rsidR="00882DC9" w:rsidRPr="00363297" w:rsidRDefault="00882DC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Особлив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13C29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труднощі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виникають у розлучених пар, коли дитина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тільки з одним із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батьків. В таких ситуаціях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іноді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дозвіл на виїзд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дитини за кордон від другого батька (чи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матері) буває складно, а іноді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стає приводом для шантажу. В кінцевому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результаті, дитина не може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виїхати за кордон, а стосунки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між батьками можуть і зовсім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зіпсуватися.</w:t>
      </w:r>
    </w:p>
    <w:p w:rsidR="004F2824" w:rsidRPr="00363297" w:rsidRDefault="00ED250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Однак,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вже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відтепер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лися правила виїзду діт</w:t>
      </w:r>
      <w:r w:rsidR="00D36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за кордон.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Міністерство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юстиції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ввело норму, згідно з якою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 один із</w:t>
      </w:r>
      <w:r w:rsidR="00077D48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батьків, з яким</w:t>
      </w:r>
      <w:r w:rsidR="00077D48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проживає</w:t>
      </w:r>
      <w:r w:rsidR="00077D48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дитина, має право вивозити</w:t>
      </w:r>
      <w:r w:rsidR="00077D48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її за кордон без дозволу</w:t>
      </w:r>
      <w:r w:rsidR="00077D48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іншого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464EB" w:rsidRPr="00363297" w:rsidRDefault="00882DC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Дана стаття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присвячена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особливостям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виїзду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неповнолітніх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 за межі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України. В статті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розглянуто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найбільш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актуальні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 і проблеми, що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супроводжують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вивезення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дитини за кордон.</w:t>
      </w:r>
    </w:p>
    <w:p w:rsidR="00882DC9" w:rsidRPr="00363297" w:rsidRDefault="00C72C3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Відповідно, доводимо до відома окремі норми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 w:rsidR="00882DC9" w:rsidRPr="0036329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lang w:val="uk-UA"/>
        </w:rPr>
        <w:t>вивезення д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lang w:val="uk-UA"/>
        </w:rPr>
        <w:t>за межі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824" w:rsidRPr="00363297" w:rsidRDefault="0020575F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По-перше, в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ідповідно до </w:t>
      </w:r>
      <w:hyperlink r:id="rId7" w:tgtFrame="_blank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ст. 2 Закону</w:t>
        </w:r>
        <w:bookmarkStart w:id="0" w:name="_GoBack"/>
        <w:bookmarkEnd w:id="0"/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 «Про порядок виїзду з України і в'їзду в Україну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громадян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України»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неповнолітні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громадяни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виїжджають з України за наявності паспорта громадянина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України для виїзду за кордон</w:t>
      </w:r>
      <w:r w:rsidR="00F5683D" w:rsidRPr="003632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824" w:rsidRPr="00363297" w:rsidRDefault="0020575F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По-друге, в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ідповідно до </w:t>
      </w:r>
      <w:hyperlink r:id="rId8" w:tgtFrame="_blank" w:history="1"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>п. 4 «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Правил перетинання державного кордону громадянами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, затверджених постановою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D3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від 27.01.95 № 57 (у редакції постанови Кабінету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від 25.08.2010р. № 724), виїзд з України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громадян,  які не досягли 16-річного віку, в супроводі одного з батьків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осіб, уповноважених одним з батьків за нотаріально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посвідченою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згодою, здійснюється:</w:t>
      </w:r>
    </w:p>
    <w:p w:rsidR="004F2824" w:rsidRPr="00363297" w:rsidRDefault="004F2824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0575F" w:rsidRPr="00363297"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9" w:tgtFrame="_top" w:history="1"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1) за нотаріально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посвідченою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згодою другого з батьків із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зазначенням у ній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с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прямування та відповідного часового проміжку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перебування у цій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державі, якщо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другий з батьків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відсутній у пункті пропуску;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2)  без нотаріально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згоди другого з батьків: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якщо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другий з батьків є іноземцем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 особою без громадянства, що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підтверджується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записом про батька у свідоцтві про народження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дитини, та який (яка) відсутній у пункті пропуску;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якщо у паспорті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громадянина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 для виїзду за кордон, з яким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перетинає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державний кордон громадянин, який не досяг 16-річного віку, або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проїзному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документі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 є запис про вибуття на постійне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місце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проживання за межі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відмітка про взяття на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3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постійний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4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консульський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облік у дипломатичному представництві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консульській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установі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 за кордоном;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разі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пред'явлення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документів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їх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нотаріально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засвідчених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копій: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свідоцтва про смерть другого з батьків;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рішення суду про позбавлення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батьківських прав другого з батьків;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рішення суду про визнання другого з батьків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безвісно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відсутнім;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рішення суду про визнання другого з батьків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недієздатним;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рішення суду про надання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дозволу на виїзд з України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громадянину, який не досяг 16-річного віку, без згоди та супроводу другого з батьків;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довідки про народження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дитини, виданої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відділом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реєстрації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актів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цивільного стану, із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зазначенням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підстав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внесення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відомостей про батька відповідно до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2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частини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першої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статті 135 Сімейного кодексу України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3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(під час виїзду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 за кордон у супроводі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одинокої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матері)</w:t>
        </w:r>
      </w:hyperlink>
      <w:hyperlink r:id="rId24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довідки про наявність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заборгованості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із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сплати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аліментів, сукупний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розмір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якої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перевищує суму відповідних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платежів за чотири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місяці, виданої органом державної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виконавчої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служби, приватним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виконавцем;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свідоцтва про народження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дитини, виданого компетентним органом іноземної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держави, що не містить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відомостей про батька дитини, легалізованого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засвідченого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апостилем, а також без будь-якого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додаткового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засвідчення у випадках, передбачених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міжнародним договором України</w:t>
        </w:r>
      </w:hyperlink>
      <w:hyperlink r:id="rId27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3)  без нотаріально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посвідченої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згоди другого з батьків у разі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тимчасового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виїзду з України на строк до одного місяця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під час пред'явлення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рішення суду або органу опіки та піклування (районної, районної у м. Києві та Севастополі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держадміністрацій, виконавчого органу міської, районної у місті (у разі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його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утворення), сільської, селищної ради об'єднаної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територіальної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громади) або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їх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копій, засвідчених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нотаріально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чи органом, який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їх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видав, у якому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визначено (підтверджено) місце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проживання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 з одним із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батьків, який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має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намір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виїзду з дитиною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який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уповноважив на це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нотаріально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інших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осіб;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9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4)  без нотаріально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згоди другого з батьків у разі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тимчасового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виїзду з України на строк до одного місяця та більше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 з інвалідністю, дитини, яка хворіє на захворювання, передбачені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0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частиною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п'ятою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статті 157 Сімейного кодексу України</w:t>
        </w:r>
      </w:hyperlink>
      <w:hyperlink r:id="rId31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, під час пред'явлення таких документів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їх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копій, засвідчених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нотаріально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чи органом, який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їх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видав: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2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довідки, виданої органом державної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виконавчої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служби, приватним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виконавцем, про наявність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заборгованості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із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сплати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аліментів (у разі коли сукупний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розмір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заборгованості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перевищує суму відповідних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платежів за три місяці);</w:t>
        </w:r>
      </w:hyperlink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3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документа, виданого лікарсько-консультативною комісією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лікувально-профілактичного закладу, в порядку та за формою, встановленими МОЗ (у разі коли сума заборгованості по аліментах становить понад три місяці, але не більше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чотирьох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місяців).</w:t>
        </w:r>
      </w:hyperlink>
      <w:r w:rsidR="00D3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2824" w:rsidRPr="00363297" w:rsidRDefault="004F2824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F2824" w:rsidRPr="00363297" w:rsidRDefault="007A66D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4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Виїзд з України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громадян, які не досягли 16-річного віку, в супроводі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осіб, які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уповноважені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обома батьками, здійснюється за нотаріально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згодою</w:t>
        </w:r>
        <w:r w:rsidR="00A35CD5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(заявою)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обох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батьків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із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зазначенням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держави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прямування та відповідного часового проміжку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перебування у цій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державі.</w:t>
        </w:r>
      </w:hyperlink>
    </w:p>
    <w:p w:rsidR="008E52FE" w:rsidRPr="00363297" w:rsidRDefault="00A35CD5" w:rsidP="00D36A07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Для отримання такої заяви, батьки неповнолітньої дитини повинні звернутися до будь-якого нотаріуса свого міста, маючи при собі</w:t>
      </w:r>
      <w:r w:rsidR="00B80BE5" w:rsidRPr="0036329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оригінали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паспортів</w:t>
      </w:r>
      <w:r w:rsidR="00622DB9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України, або інших документів, які унеможливлюють виникнення будь-яких сумнівів щодо особи громадянина, який звернувся за вчиненням нотаріальної дії, </w:t>
      </w:r>
      <w:r w:rsidR="00B80BE5" w:rsidRPr="00363297">
        <w:rPr>
          <w:rFonts w:ascii="Times New Roman" w:hAnsi="Times New Roman" w:cs="Times New Roman"/>
          <w:sz w:val="28"/>
          <w:szCs w:val="28"/>
          <w:lang w:val="uk-UA"/>
        </w:rPr>
        <w:t>реєстраційн</w:t>
      </w:r>
      <w:r w:rsidR="00450149" w:rsidRPr="003632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0BE5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450149" w:rsidRPr="003632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0BE5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платник</w:t>
      </w:r>
      <w:r w:rsidR="00450149" w:rsidRPr="003632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0BE5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податків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та свідоцтво про народження дитини.</w:t>
      </w:r>
    </w:p>
    <w:p w:rsidR="00D36A07" w:rsidRDefault="00D36A07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2FE" w:rsidRPr="00363297" w:rsidRDefault="008E52FE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Виконавець Кеда О.В.</w:t>
      </w:r>
    </w:p>
    <w:p w:rsidR="00DF7FEA" w:rsidRPr="00363297" w:rsidRDefault="00DF7FE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7FEA" w:rsidRPr="00363297" w:rsidSect="007A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5CB4"/>
    <w:multiLevelType w:val="multilevel"/>
    <w:tmpl w:val="779E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80041"/>
    <w:multiLevelType w:val="multilevel"/>
    <w:tmpl w:val="F7F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D3FED"/>
    <w:multiLevelType w:val="multilevel"/>
    <w:tmpl w:val="763E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07F63"/>
    <w:multiLevelType w:val="multilevel"/>
    <w:tmpl w:val="8010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7550C"/>
    <w:multiLevelType w:val="multilevel"/>
    <w:tmpl w:val="F2A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A6D08"/>
    <w:multiLevelType w:val="multilevel"/>
    <w:tmpl w:val="13A05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469B7"/>
    <w:multiLevelType w:val="multilevel"/>
    <w:tmpl w:val="ABF8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41D57"/>
    <w:multiLevelType w:val="multilevel"/>
    <w:tmpl w:val="863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A6BB0"/>
    <w:multiLevelType w:val="multilevel"/>
    <w:tmpl w:val="1BA28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2824"/>
    <w:rsid w:val="00077D48"/>
    <w:rsid w:val="00096B67"/>
    <w:rsid w:val="0020575F"/>
    <w:rsid w:val="002464EB"/>
    <w:rsid w:val="002961DC"/>
    <w:rsid w:val="00363297"/>
    <w:rsid w:val="00450149"/>
    <w:rsid w:val="004F2824"/>
    <w:rsid w:val="005B50F5"/>
    <w:rsid w:val="005B64A2"/>
    <w:rsid w:val="00622DB9"/>
    <w:rsid w:val="007A66DA"/>
    <w:rsid w:val="00872230"/>
    <w:rsid w:val="00882DC9"/>
    <w:rsid w:val="008E52FE"/>
    <w:rsid w:val="009D57B3"/>
    <w:rsid w:val="00A35CD5"/>
    <w:rsid w:val="00AA7FE9"/>
    <w:rsid w:val="00B80BE5"/>
    <w:rsid w:val="00C50D22"/>
    <w:rsid w:val="00C72C39"/>
    <w:rsid w:val="00D36A07"/>
    <w:rsid w:val="00DF7FEA"/>
    <w:rsid w:val="00E13C29"/>
    <w:rsid w:val="00ED2509"/>
    <w:rsid w:val="00ED763C"/>
    <w:rsid w:val="00F5683D"/>
    <w:rsid w:val="00F623EF"/>
    <w:rsid w:val="00FB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D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882D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D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882D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8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2D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2D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Strong"/>
    <w:basedOn w:val="a0"/>
    <w:uiPriority w:val="22"/>
    <w:qFormat/>
    <w:rsid w:val="00882DC9"/>
    <w:rPr>
      <w:b/>
      <w:bCs/>
    </w:rPr>
  </w:style>
  <w:style w:type="paragraph" w:styleId="a8">
    <w:name w:val="No Spacing"/>
    <w:uiPriority w:val="1"/>
    <w:qFormat/>
    <w:rsid w:val="00E13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61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38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20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57-95-%D0%BF" TargetMode="External"/><Relationship Id="rId13" Type="http://schemas.openxmlformats.org/officeDocument/2006/relationships/hyperlink" Target="http://search.ligazakon.ua/l_doc2.nsf/link1/KP160733.html" TargetMode="External"/><Relationship Id="rId18" Type="http://schemas.openxmlformats.org/officeDocument/2006/relationships/hyperlink" Target="http://search.ligazakon.ua/l_doc2.nsf/link1/KP100724.html" TargetMode="External"/><Relationship Id="rId26" Type="http://schemas.openxmlformats.org/officeDocument/2006/relationships/hyperlink" Target="http://search.ligazakon.ua/l_doc2.nsf/link1/KP18052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KP100724.html" TargetMode="External"/><Relationship Id="rId34" Type="http://schemas.openxmlformats.org/officeDocument/2006/relationships/hyperlink" Target="http://search.ligazakon.ua/l_doc2.nsf/link1/KP100724.html" TargetMode="External"/><Relationship Id="rId7" Type="http://schemas.openxmlformats.org/officeDocument/2006/relationships/hyperlink" Target="http://zakon5.rada.gov.ua/laws/show/3857-12/ed20151229" TargetMode="External"/><Relationship Id="rId12" Type="http://schemas.openxmlformats.org/officeDocument/2006/relationships/hyperlink" Target="http://search.ligazakon.ua/l_doc2.nsf/link1/KP100724.html" TargetMode="External"/><Relationship Id="rId17" Type="http://schemas.openxmlformats.org/officeDocument/2006/relationships/hyperlink" Target="http://search.ligazakon.ua/l_doc2.nsf/link1/KP100724.html" TargetMode="External"/><Relationship Id="rId25" Type="http://schemas.openxmlformats.org/officeDocument/2006/relationships/hyperlink" Target="http://search.ligazakon.ua/l_doc2.nsf/link1/KP180619.html" TargetMode="External"/><Relationship Id="rId33" Type="http://schemas.openxmlformats.org/officeDocument/2006/relationships/hyperlink" Target="http://search.ligazakon.ua/l_doc2.nsf/link1/KP1806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KP100724.html" TargetMode="External"/><Relationship Id="rId20" Type="http://schemas.openxmlformats.org/officeDocument/2006/relationships/hyperlink" Target="http://search.ligazakon.ua/l_doc2.nsf/link1/KP100724.html" TargetMode="External"/><Relationship Id="rId29" Type="http://schemas.openxmlformats.org/officeDocument/2006/relationships/hyperlink" Target="http://search.ligazakon.ua/l_doc2.nsf/link1/KP1806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tutpl.com/dytyachyy-zakordonnyy-pasport-dokumenty-ta-osoblyvosti-oformlennya" TargetMode="External"/><Relationship Id="rId11" Type="http://schemas.openxmlformats.org/officeDocument/2006/relationships/hyperlink" Target="http://search.ligazakon.ua/l_doc2.nsf/link1/KP100724.html" TargetMode="External"/><Relationship Id="rId24" Type="http://schemas.openxmlformats.org/officeDocument/2006/relationships/hyperlink" Target="http://search.ligazakon.ua/l_doc2.nsf/link1/KP180076.html" TargetMode="External"/><Relationship Id="rId32" Type="http://schemas.openxmlformats.org/officeDocument/2006/relationships/hyperlink" Target="http://search.ligazakon.ua/l_doc2.nsf/link1/KP180619.html" TargetMode="External"/><Relationship Id="rId5" Type="http://schemas.openxmlformats.org/officeDocument/2006/relationships/hyperlink" Target="http://vsetutpl.com/top-10-mists-dlya-vidpochynku-z-ditmy-v-polschi" TargetMode="External"/><Relationship Id="rId15" Type="http://schemas.openxmlformats.org/officeDocument/2006/relationships/hyperlink" Target="http://search.ligazakon.ua/l_doc2.nsf/link1/KP100724.html" TargetMode="External"/><Relationship Id="rId23" Type="http://schemas.openxmlformats.org/officeDocument/2006/relationships/hyperlink" Target="http://search.ligazakon.ua/l_doc2.nsf/link1/KP100724.html" TargetMode="External"/><Relationship Id="rId28" Type="http://schemas.openxmlformats.org/officeDocument/2006/relationships/hyperlink" Target="http://search.ligazakon.ua/l_doc2.nsf/link1/KP180619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earch.ligazakon.ua/l_doc2.nsf/link1/KP100724.html" TargetMode="External"/><Relationship Id="rId19" Type="http://schemas.openxmlformats.org/officeDocument/2006/relationships/hyperlink" Target="http://search.ligazakon.ua/l_doc2.nsf/link1/KP100724.html" TargetMode="External"/><Relationship Id="rId31" Type="http://schemas.openxmlformats.org/officeDocument/2006/relationships/hyperlink" Target="http://search.ligazakon.ua/l_doc2.nsf/link1/KP1806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00724.html" TargetMode="External"/><Relationship Id="rId14" Type="http://schemas.openxmlformats.org/officeDocument/2006/relationships/hyperlink" Target="http://search.ligazakon.ua/l_doc2.nsf/link1/KP100724.html" TargetMode="External"/><Relationship Id="rId22" Type="http://schemas.openxmlformats.org/officeDocument/2006/relationships/hyperlink" Target="http://search.ligazakon.ua/l_doc2.nsf/link1/T022947.html" TargetMode="External"/><Relationship Id="rId27" Type="http://schemas.openxmlformats.org/officeDocument/2006/relationships/hyperlink" Target="http://search.ligazakon.ua/l_doc2.nsf/link1/KP180619.html" TargetMode="External"/><Relationship Id="rId30" Type="http://schemas.openxmlformats.org/officeDocument/2006/relationships/hyperlink" Target="http://search.ligazakon.ua/l_doc2.nsf/link1/T022947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5396</Words>
  <Characters>3077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555</cp:lastModifiedBy>
  <cp:revision>14</cp:revision>
  <cp:lastPrinted>2019-01-17T11:58:00Z</cp:lastPrinted>
  <dcterms:created xsi:type="dcterms:W3CDTF">2018-12-13T09:35:00Z</dcterms:created>
  <dcterms:modified xsi:type="dcterms:W3CDTF">2019-01-22T14:22:00Z</dcterms:modified>
</cp:coreProperties>
</file>