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97" w:rsidRPr="003E2496" w:rsidRDefault="00065B97" w:rsidP="003E2496">
      <w:pPr>
        <w:jc w:val="center"/>
        <w:rPr>
          <w:rFonts w:eastAsia="Calibri" w:cs="Times New Roman"/>
          <w:b/>
          <w:szCs w:val="28"/>
          <w:lang w:val="ru-RU"/>
        </w:rPr>
      </w:pPr>
      <w:r w:rsidRPr="003E2496">
        <w:rPr>
          <w:rFonts w:eastAsia="Calibri" w:cs="Times New Roman"/>
          <w:b/>
          <w:szCs w:val="28"/>
        </w:rPr>
        <w:t>ЗНАЧЕННЯ СВІДОЦТВА ПРО ПРАВО НА СПАДЩИНУ</w:t>
      </w:r>
      <w:r w:rsidR="003E2496" w:rsidRPr="003E2496">
        <w:rPr>
          <w:rFonts w:eastAsia="Calibri" w:cs="Times New Roman"/>
          <w:b/>
          <w:szCs w:val="28"/>
          <w:lang w:val="ru-RU"/>
        </w:rPr>
        <w:t xml:space="preserve"> </w:t>
      </w:r>
      <w:r w:rsidRPr="003E2496">
        <w:rPr>
          <w:rFonts w:eastAsia="Calibri" w:cs="Times New Roman"/>
          <w:b/>
          <w:szCs w:val="28"/>
        </w:rPr>
        <w:t>ДЛЯ СПАДКОВИХ ПРАВОВІДНОСИН</w:t>
      </w:r>
    </w:p>
    <w:p w:rsidR="007E5334" w:rsidRPr="003E2496" w:rsidRDefault="007E5334"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Досить поширеними в нотаріальній практиці є посвідчення правочинів у </w:t>
      </w:r>
      <w:r w:rsidR="00F358F4" w:rsidRPr="003E2496">
        <w:rPr>
          <w:rFonts w:eastAsia="Calibri" w:cs="Times New Roman"/>
          <w:sz w:val="24"/>
          <w:szCs w:val="28"/>
        </w:rPr>
        <w:t xml:space="preserve">сфері </w:t>
      </w:r>
      <w:r w:rsidRPr="003E2496">
        <w:rPr>
          <w:rFonts w:eastAsia="Calibri" w:cs="Times New Roman"/>
          <w:sz w:val="24"/>
          <w:szCs w:val="28"/>
        </w:rPr>
        <w:t>спадкових правовідносин</w:t>
      </w:r>
      <w:r w:rsidR="00F358F4" w:rsidRPr="003E2496">
        <w:rPr>
          <w:rFonts w:eastAsia="Calibri" w:cs="Times New Roman"/>
          <w:sz w:val="24"/>
          <w:szCs w:val="28"/>
        </w:rPr>
        <w:t xml:space="preserve">. Особливе значення для виникнення права на спадщину у спадкоємців відіграє свідоцтво про право на спадщину. </w:t>
      </w:r>
    </w:p>
    <w:p w:rsidR="004567D4" w:rsidRPr="003E2496" w:rsidRDefault="007E5334"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Відповідно до Порядку вчинення нотаріальних дій </w:t>
      </w:r>
      <w:r w:rsidR="004567D4" w:rsidRPr="003E2496">
        <w:rPr>
          <w:rFonts w:eastAsia="Calibri" w:cs="Times New Roman"/>
          <w:sz w:val="24"/>
          <w:szCs w:val="28"/>
        </w:rPr>
        <w:t>нотаріусами України, затвердженого н</w:t>
      </w:r>
      <w:r w:rsidRPr="003E2496">
        <w:rPr>
          <w:rFonts w:eastAsia="Calibri" w:cs="Times New Roman"/>
          <w:sz w:val="24"/>
          <w:szCs w:val="28"/>
        </w:rPr>
        <w:t>аказом Міністерства юстиції України від 22.02.2012 № 296/5</w:t>
      </w:r>
      <w:r w:rsidR="004567D4" w:rsidRPr="003E2496">
        <w:rPr>
          <w:rFonts w:eastAsia="Calibri" w:cs="Times New Roman"/>
          <w:sz w:val="24"/>
          <w:szCs w:val="28"/>
        </w:rPr>
        <w:t xml:space="preserve"> (далі – Порядок)</w:t>
      </w:r>
      <w:r w:rsidRPr="003E2496">
        <w:rPr>
          <w:rFonts w:eastAsia="Calibri" w:cs="Times New Roman"/>
          <w:sz w:val="24"/>
          <w:szCs w:val="28"/>
        </w:rPr>
        <w:t xml:space="preserve">, </w:t>
      </w:r>
      <w:r w:rsidR="00F358F4" w:rsidRPr="003E2496">
        <w:rPr>
          <w:rFonts w:eastAsia="Calibri" w:cs="Times New Roman"/>
          <w:sz w:val="24"/>
          <w:szCs w:val="28"/>
        </w:rPr>
        <w:t>с</w:t>
      </w:r>
      <w:r w:rsidRPr="003E2496">
        <w:rPr>
          <w:rFonts w:eastAsia="Calibri" w:cs="Times New Roman"/>
          <w:sz w:val="24"/>
          <w:szCs w:val="28"/>
        </w:rPr>
        <w:t>відоцтво про право на спадщину видається на підставі заяви спадкоємців, які прийняли спадщину, після закінчення шести місяців з дня відкриття спадщини, а у випадках, пер</w:t>
      </w:r>
      <w:r w:rsidR="004567D4" w:rsidRPr="003E2496">
        <w:rPr>
          <w:rFonts w:eastAsia="Calibri" w:cs="Times New Roman"/>
          <w:sz w:val="24"/>
          <w:szCs w:val="28"/>
        </w:rPr>
        <w:t>едбачених статтями</w:t>
      </w:r>
      <w:r w:rsidRPr="003E2496">
        <w:rPr>
          <w:rFonts w:eastAsia="Calibri" w:cs="Times New Roman"/>
          <w:sz w:val="24"/>
          <w:szCs w:val="28"/>
        </w:rPr>
        <w:t xml:space="preserve"> 1270, 1276</w:t>
      </w:r>
      <w:r w:rsidR="00047D11" w:rsidRPr="003E2496">
        <w:rPr>
          <w:rFonts w:eastAsia="Calibri" w:cs="Times New Roman"/>
          <w:sz w:val="24"/>
          <w:szCs w:val="28"/>
        </w:rPr>
        <w:t xml:space="preserve"> </w:t>
      </w:r>
      <w:r w:rsidRPr="003E2496">
        <w:rPr>
          <w:rFonts w:eastAsia="Calibri" w:cs="Times New Roman"/>
          <w:sz w:val="24"/>
          <w:szCs w:val="28"/>
        </w:rPr>
        <w:t>Цивільного кодексу України</w:t>
      </w:r>
      <w:r w:rsidR="004567D4" w:rsidRPr="003E2496">
        <w:rPr>
          <w:rFonts w:eastAsia="Calibri" w:cs="Times New Roman"/>
          <w:sz w:val="24"/>
          <w:szCs w:val="28"/>
        </w:rPr>
        <w:t xml:space="preserve"> (далі ЦК України)</w:t>
      </w:r>
      <w:r w:rsidRPr="003E2496">
        <w:rPr>
          <w:rFonts w:eastAsia="Calibri" w:cs="Times New Roman"/>
          <w:sz w:val="24"/>
          <w:szCs w:val="28"/>
        </w:rPr>
        <w:t>, - не раніше зазначених у цих статтях строків.</w:t>
      </w:r>
      <w:r w:rsidR="00F358F4" w:rsidRPr="003E2496">
        <w:rPr>
          <w:rFonts w:eastAsia="Calibri" w:cs="Times New Roman"/>
          <w:sz w:val="24"/>
          <w:szCs w:val="28"/>
        </w:rPr>
        <w:t xml:space="preserve"> При цьому </w:t>
      </w:r>
      <w:bookmarkStart w:id="0" w:name="n731"/>
      <w:bookmarkEnd w:id="0"/>
      <w:r w:rsidR="00F358F4" w:rsidRPr="003E2496">
        <w:rPr>
          <w:rFonts w:eastAsia="Calibri" w:cs="Times New Roman"/>
          <w:sz w:val="24"/>
          <w:szCs w:val="28"/>
        </w:rPr>
        <w:t>в</w:t>
      </w:r>
      <w:r w:rsidRPr="003E2496">
        <w:rPr>
          <w:rFonts w:eastAsia="Calibri" w:cs="Times New Roman"/>
          <w:sz w:val="24"/>
          <w:szCs w:val="28"/>
        </w:rPr>
        <w:t>идача свідоцтва про право на спадщину спадкоємцям, які прийняли спадщину, ніяким строком не обмежена.</w:t>
      </w:r>
      <w:r w:rsidR="00F358F4" w:rsidRPr="003E2496">
        <w:rPr>
          <w:rFonts w:eastAsia="Calibri" w:cs="Times New Roman"/>
          <w:sz w:val="24"/>
          <w:szCs w:val="28"/>
        </w:rPr>
        <w:t xml:space="preserve"> </w:t>
      </w:r>
      <w:bookmarkStart w:id="1" w:name="n732"/>
      <w:bookmarkStart w:id="2" w:name="n733"/>
      <w:bookmarkEnd w:id="1"/>
      <w:bookmarkEnd w:id="2"/>
    </w:p>
    <w:p w:rsidR="007E5334" w:rsidRPr="003E2496" w:rsidRDefault="0056187F"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Водночас </w:t>
      </w:r>
      <w:r w:rsidR="00F358F4" w:rsidRPr="003E2496">
        <w:rPr>
          <w:rFonts w:eastAsia="Calibri" w:cs="Times New Roman"/>
          <w:sz w:val="24"/>
          <w:szCs w:val="28"/>
        </w:rPr>
        <w:t>с</w:t>
      </w:r>
      <w:r w:rsidR="007E5334" w:rsidRPr="003E2496">
        <w:rPr>
          <w:rFonts w:eastAsia="Calibri" w:cs="Times New Roman"/>
          <w:sz w:val="24"/>
          <w:szCs w:val="28"/>
        </w:rPr>
        <w:t>відоцтво про право на спадщину видається за наявності у спадковій сп</w:t>
      </w:r>
      <w:r w:rsidR="00F358F4" w:rsidRPr="003E2496">
        <w:rPr>
          <w:rFonts w:eastAsia="Calibri" w:cs="Times New Roman"/>
          <w:sz w:val="24"/>
          <w:szCs w:val="28"/>
        </w:rPr>
        <w:t>раві всіх необхідних документів, перелік та вимоги до яких встановлюються вищезазначеним Порядком.</w:t>
      </w:r>
    </w:p>
    <w:p w:rsidR="007E5334" w:rsidRPr="003E2496" w:rsidRDefault="00F358F4" w:rsidP="003E2496">
      <w:pPr>
        <w:spacing w:after="0" w:line="360" w:lineRule="auto"/>
        <w:ind w:firstLine="709"/>
        <w:jc w:val="both"/>
        <w:rPr>
          <w:rFonts w:eastAsia="Calibri" w:cs="Times New Roman"/>
          <w:sz w:val="24"/>
          <w:szCs w:val="28"/>
        </w:rPr>
      </w:pPr>
      <w:r w:rsidRPr="003E2496">
        <w:rPr>
          <w:rFonts w:eastAsia="Calibri" w:cs="Times New Roman"/>
          <w:sz w:val="24"/>
          <w:szCs w:val="28"/>
        </w:rPr>
        <w:t>Важливого значення для нотаріальної та судової практики відіграє правова природа свідоцтва про право на спадщину, від якої залежать норми, які можуть бути застосовані для визнання такого свідоцтва чинним чи нечинним (недійсним).</w:t>
      </w:r>
    </w:p>
    <w:p w:rsidR="003B4E88" w:rsidRPr="003E2496" w:rsidRDefault="003B4E88"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Враховуючи особливості суб’єктного складу осіб, що мають право </w:t>
      </w:r>
      <w:r w:rsidR="00FD2829" w:rsidRPr="003E2496">
        <w:rPr>
          <w:rFonts w:eastAsia="Calibri" w:cs="Times New Roman"/>
          <w:sz w:val="24"/>
          <w:szCs w:val="28"/>
        </w:rPr>
        <w:t>отримати</w:t>
      </w:r>
      <w:r w:rsidRPr="003E2496">
        <w:rPr>
          <w:rFonts w:eastAsia="Calibri" w:cs="Times New Roman"/>
          <w:sz w:val="24"/>
          <w:szCs w:val="28"/>
        </w:rPr>
        <w:t xml:space="preserve"> свідоцтво про право на спадщину</w:t>
      </w:r>
      <w:r w:rsidR="00FD2829" w:rsidRPr="003E2496">
        <w:rPr>
          <w:rFonts w:eastAsia="Calibri" w:cs="Times New Roman"/>
          <w:sz w:val="24"/>
          <w:szCs w:val="28"/>
        </w:rPr>
        <w:t>,</w:t>
      </w:r>
      <w:r w:rsidRPr="003E2496">
        <w:rPr>
          <w:rFonts w:eastAsia="Calibri" w:cs="Times New Roman"/>
          <w:sz w:val="24"/>
          <w:szCs w:val="28"/>
        </w:rPr>
        <w:t xml:space="preserve"> та відсутність такої ознаки правочину як наявність вільного волевиявлення на його вчинення, вбачається очевидний висновок про те, що свідоцтво про право на </w:t>
      </w:r>
      <w:r w:rsidR="004567D4" w:rsidRPr="003E2496">
        <w:rPr>
          <w:rFonts w:eastAsia="Calibri" w:cs="Times New Roman"/>
          <w:sz w:val="24"/>
          <w:szCs w:val="28"/>
        </w:rPr>
        <w:t xml:space="preserve">спадщину </w:t>
      </w:r>
      <w:r w:rsidRPr="003E2496">
        <w:rPr>
          <w:rFonts w:eastAsia="Calibri" w:cs="Times New Roman"/>
          <w:sz w:val="24"/>
          <w:szCs w:val="28"/>
        </w:rPr>
        <w:t xml:space="preserve">не є правочином. </w:t>
      </w:r>
    </w:p>
    <w:p w:rsidR="003B4E88" w:rsidRPr="003E2496" w:rsidRDefault="003B4E88" w:rsidP="003E2496">
      <w:pPr>
        <w:spacing w:after="0" w:line="360" w:lineRule="auto"/>
        <w:ind w:firstLine="709"/>
        <w:jc w:val="both"/>
        <w:rPr>
          <w:rFonts w:eastAsia="Calibri" w:cs="Times New Roman"/>
          <w:sz w:val="24"/>
          <w:szCs w:val="28"/>
        </w:rPr>
      </w:pPr>
      <w:r w:rsidRPr="003E2496">
        <w:rPr>
          <w:rFonts w:eastAsia="Calibri" w:cs="Times New Roman"/>
          <w:sz w:val="24"/>
          <w:szCs w:val="28"/>
        </w:rPr>
        <w:t>Водночас в цивільному законодавстві та судовій практиці передбачається можливість визнання в судовому порядку недійсним свідоцтва про право на спадщину</w:t>
      </w:r>
      <w:r w:rsidR="004567D4" w:rsidRPr="003E2496">
        <w:rPr>
          <w:rFonts w:eastAsia="Calibri" w:cs="Times New Roman"/>
          <w:sz w:val="24"/>
          <w:szCs w:val="28"/>
        </w:rPr>
        <w:t xml:space="preserve"> (стаття</w:t>
      </w:r>
      <w:r w:rsidR="007E5334" w:rsidRPr="003E2496">
        <w:rPr>
          <w:rFonts w:eastAsia="Calibri" w:cs="Times New Roman"/>
          <w:sz w:val="24"/>
          <w:szCs w:val="28"/>
        </w:rPr>
        <w:t xml:space="preserve"> 1301 ЦК України</w:t>
      </w:r>
      <w:r w:rsidRPr="003E2496">
        <w:rPr>
          <w:rFonts w:eastAsia="Calibri" w:cs="Times New Roman"/>
          <w:sz w:val="24"/>
          <w:szCs w:val="28"/>
        </w:rPr>
        <w:t>).</w:t>
      </w:r>
    </w:p>
    <w:p w:rsidR="003B4E88" w:rsidRPr="003E2496" w:rsidRDefault="003B4E88"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Відтак виникає питання про можливість застосування норм ЦК </w:t>
      </w:r>
      <w:r w:rsidR="004567D4" w:rsidRPr="003E2496">
        <w:rPr>
          <w:rFonts w:eastAsia="Calibri" w:cs="Times New Roman"/>
          <w:sz w:val="24"/>
          <w:szCs w:val="28"/>
        </w:rPr>
        <w:t xml:space="preserve">України </w:t>
      </w:r>
      <w:r w:rsidRPr="003E2496">
        <w:rPr>
          <w:rFonts w:eastAsia="Calibri" w:cs="Times New Roman"/>
          <w:sz w:val="24"/>
          <w:szCs w:val="28"/>
        </w:rPr>
        <w:t>про недійсність правочинів до визнання недійсним свідоцтва про право на спадщину.</w:t>
      </w:r>
    </w:p>
    <w:p w:rsidR="007E5334" w:rsidRPr="003E2496" w:rsidRDefault="003B4E88"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Так, у </w:t>
      </w:r>
      <w:r w:rsidR="007E5334" w:rsidRPr="003E2496">
        <w:rPr>
          <w:rFonts w:eastAsia="Calibri" w:cs="Times New Roman"/>
          <w:sz w:val="24"/>
          <w:szCs w:val="28"/>
        </w:rPr>
        <w:t>постанов</w:t>
      </w:r>
      <w:r w:rsidRPr="003E2496">
        <w:rPr>
          <w:rFonts w:eastAsia="Calibri" w:cs="Times New Roman"/>
          <w:sz w:val="24"/>
          <w:szCs w:val="28"/>
        </w:rPr>
        <w:t xml:space="preserve">і </w:t>
      </w:r>
      <w:r w:rsidR="007E5334" w:rsidRPr="003E2496">
        <w:rPr>
          <w:rFonts w:eastAsia="Calibri" w:cs="Times New Roman"/>
          <w:sz w:val="24"/>
          <w:szCs w:val="28"/>
        </w:rPr>
        <w:t>Верховного Суду України</w:t>
      </w:r>
      <w:r w:rsidR="004567D4" w:rsidRPr="003E2496">
        <w:rPr>
          <w:rFonts w:eastAsia="Calibri" w:cs="Times New Roman"/>
          <w:sz w:val="24"/>
          <w:szCs w:val="28"/>
        </w:rPr>
        <w:t xml:space="preserve"> (далі – ВСУ) </w:t>
      </w:r>
      <w:r w:rsidR="007E5334" w:rsidRPr="003E2496">
        <w:rPr>
          <w:rFonts w:eastAsia="Calibri" w:cs="Times New Roman"/>
          <w:sz w:val="24"/>
          <w:szCs w:val="28"/>
        </w:rPr>
        <w:t>від 14 травня 2014 р</w:t>
      </w:r>
      <w:r w:rsidR="004567D4" w:rsidRPr="003E2496">
        <w:rPr>
          <w:rFonts w:eastAsia="Calibri" w:cs="Times New Roman"/>
          <w:sz w:val="24"/>
          <w:szCs w:val="28"/>
        </w:rPr>
        <w:t>оку</w:t>
      </w:r>
      <w:r w:rsidR="007E5334" w:rsidRPr="003E2496">
        <w:rPr>
          <w:rFonts w:eastAsia="Calibri" w:cs="Times New Roman"/>
          <w:sz w:val="24"/>
          <w:szCs w:val="28"/>
        </w:rPr>
        <w:t xml:space="preserve"> «Про визнання свідоцтва про право на спадщину </w:t>
      </w:r>
      <w:r w:rsidR="004567D4" w:rsidRPr="003E2496">
        <w:rPr>
          <w:rFonts w:eastAsia="Calibri" w:cs="Times New Roman"/>
          <w:sz w:val="24"/>
          <w:szCs w:val="28"/>
        </w:rPr>
        <w:t>та договору іпотеки недійсними»</w:t>
      </w:r>
      <w:r w:rsidR="007E5334" w:rsidRPr="003E2496">
        <w:rPr>
          <w:rFonts w:eastAsia="Calibri" w:cs="Times New Roman"/>
          <w:sz w:val="24"/>
          <w:szCs w:val="28"/>
        </w:rPr>
        <w:t xml:space="preserve"> </w:t>
      </w:r>
      <w:r w:rsidRPr="003E2496">
        <w:rPr>
          <w:rFonts w:eastAsia="Calibri" w:cs="Times New Roman"/>
          <w:sz w:val="24"/>
          <w:szCs w:val="28"/>
        </w:rPr>
        <w:t>зазначається</w:t>
      </w:r>
      <w:r w:rsidR="007E5334" w:rsidRPr="003E2496">
        <w:rPr>
          <w:rFonts w:eastAsia="Calibri" w:cs="Times New Roman"/>
          <w:sz w:val="24"/>
          <w:szCs w:val="28"/>
        </w:rPr>
        <w:t xml:space="preserve">, що </w:t>
      </w:r>
      <w:r w:rsidR="004567D4" w:rsidRPr="003E2496">
        <w:rPr>
          <w:rFonts w:eastAsia="Calibri" w:cs="Times New Roman"/>
          <w:sz w:val="24"/>
          <w:szCs w:val="28"/>
        </w:rPr>
        <w:t>в</w:t>
      </w:r>
      <w:r w:rsidR="007E5334" w:rsidRPr="003E2496">
        <w:rPr>
          <w:rFonts w:eastAsia="Calibri" w:cs="Times New Roman"/>
          <w:sz w:val="24"/>
          <w:szCs w:val="28"/>
        </w:rPr>
        <w:t>супереч вимогам статей 548, 549 ЦК УРСР суд пов’язав збереження або втрату набутого спадкоємцями права власності на спадкове майно з фактом отримання чи неотримання ним свідоцтва про право на спадщину, у той час як свідоцтво є лише документальним підтвердженням цього права (ст</w:t>
      </w:r>
      <w:r w:rsidR="004567D4" w:rsidRPr="003E2496">
        <w:rPr>
          <w:rFonts w:eastAsia="Calibri" w:cs="Times New Roman"/>
          <w:sz w:val="24"/>
          <w:szCs w:val="28"/>
        </w:rPr>
        <w:t>аття</w:t>
      </w:r>
      <w:r w:rsidR="007E5334" w:rsidRPr="003E2496">
        <w:rPr>
          <w:rFonts w:eastAsia="Calibri" w:cs="Times New Roman"/>
          <w:sz w:val="24"/>
          <w:szCs w:val="28"/>
        </w:rPr>
        <w:t xml:space="preserve"> 560 ЦК УРСР).</w:t>
      </w:r>
      <w:r w:rsidRPr="003E2496">
        <w:rPr>
          <w:rFonts w:eastAsia="Calibri" w:cs="Times New Roman"/>
          <w:sz w:val="24"/>
          <w:szCs w:val="28"/>
        </w:rPr>
        <w:t xml:space="preserve"> Хоча зазначена постанов</w:t>
      </w:r>
      <w:r w:rsidR="00065B97" w:rsidRPr="003E2496">
        <w:rPr>
          <w:rFonts w:eastAsia="Calibri" w:cs="Times New Roman"/>
          <w:sz w:val="24"/>
          <w:szCs w:val="28"/>
        </w:rPr>
        <w:t>а</w:t>
      </w:r>
      <w:r w:rsidRPr="003E2496">
        <w:rPr>
          <w:rFonts w:eastAsia="Calibri" w:cs="Times New Roman"/>
          <w:sz w:val="24"/>
          <w:szCs w:val="28"/>
        </w:rPr>
        <w:t xml:space="preserve"> і базується на нормах ЦК УРСР, який втратив чинність, водночас </w:t>
      </w:r>
      <w:r w:rsidR="0056187F" w:rsidRPr="003E2496">
        <w:rPr>
          <w:rFonts w:eastAsia="Calibri" w:cs="Times New Roman"/>
          <w:sz w:val="24"/>
          <w:szCs w:val="28"/>
        </w:rPr>
        <w:t xml:space="preserve">норми чинного ЦК України в більшій частині </w:t>
      </w:r>
      <w:r w:rsidR="00065B97" w:rsidRPr="003E2496">
        <w:rPr>
          <w:rFonts w:eastAsia="Calibri" w:cs="Times New Roman"/>
          <w:sz w:val="24"/>
          <w:szCs w:val="28"/>
        </w:rPr>
        <w:t xml:space="preserve">є </w:t>
      </w:r>
      <w:r w:rsidR="0056187F" w:rsidRPr="003E2496">
        <w:rPr>
          <w:rFonts w:eastAsia="Calibri" w:cs="Times New Roman"/>
          <w:sz w:val="24"/>
          <w:szCs w:val="28"/>
        </w:rPr>
        <w:t>аналогічними нормам ЦК УРСР.</w:t>
      </w:r>
    </w:p>
    <w:p w:rsidR="004567D4" w:rsidRPr="003E2496" w:rsidRDefault="007E5334" w:rsidP="003E2496">
      <w:pPr>
        <w:spacing w:after="0" w:line="360" w:lineRule="auto"/>
        <w:ind w:firstLine="709"/>
        <w:jc w:val="both"/>
        <w:rPr>
          <w:rFonts w:eastAsia="Calibri" w:cs="Times New Roman"/>
          <w:sz w:val="24"/>
          <w:szCs w:val="28"/>
        </w:rPr>
      </w:pPr>
      <w:r w:rsidRPr="003E2496">
        <w:rPr>
          <w:rFonts w:eastAsia="Calibri" w:cs="Times New Roman"/>
          <w:sz w:val="24"/>
          <w:szCs w:val="28"/>
        </w:rPr>
        <w:lastRenderedPageBreak/>
        <w:t xml:space="preserve">Підтримуючи загалом правову позицію ВСУ в наведеній Постанові, водночас </w:t>
      </w:r>
      <w:r w:rsidR="0056187F" w:rsidRPr="003E2496">
        <w:rPr>
          <w:rFonts w:eastAsia="Calibri" w:cs="Times New Roman"/>
          <w:sz w:val="24"/>
          <w:szCs w:val="28"/>
        </w:rPr>
        <w:t>слід відзначити, що таке свідоцтво</w:t>
      </w:r>
      <w:r w:rsidRPr="003E2496">
        <w:rPr>
          <w:rFonts w:eastAsia="Calibri" w:cs="Times New Roman"/>
          <w:sz w:val="24"/>
          <w:szCs w:val="28"/>
        </w:rPr>
        <w:t xml:space="preserve"> є не звичайним документальним підтвердженням права власності, а має</w:t>
      </w:r>
      <w:r w:rsidR="004567D4" w:rsidRPr="003E2496">
        <w:rPr>
          <w:rFonts w:eastAsia="Calibri" w:cs="Times New Roman"/>
          <w:sz w:val="24"/>
          <w:szCs w:val="28"/>
        </w:rPr>
        <w:t xml:space="preserve"> вважатися </w:t>
      </w:r>
      <w:r w:rsidRPr="003E2496">
        <w:rPr>
          <w:rFonts w:eastAsia="Calibri" w:cs="Times New Roman"/>
          <w:sz w:val="24"/>
          <w:szCs w:val="28"/>
        </w:rPr>
        <w:t>документом,</w:t>
      </w:r>
      <w:r w:rsidR="00FD2829" w:rsidRPr="003E2496">
        <w:rPr>
          <w:rFonts w:eastAsia="Calibri" w:cs="Times New Roman"/>
          <w:sz w:val="24"/>
          <w:szCs w:val="28"/>
        </w:rPr>
        <w:t xml:space="preserve"> який посвідчує право,</w:t>
      </w:r>
      <w:r w:rsidRPr="003E2496">
        <w:rPr>
          <w:rFonts w:eastAsia="Calibri" w:cs="Times New Roman"/>
          <w:sz w:val="24"/>
          <w:szCs w:val="28"/>
        </w:rPr>
        <w:t xml:space="preserve"> що закріплює презумпцію правомірності набуття його володільцем права власності. До таких документів належать також свідоцтво про право власності, свідоцтво про право власності на частку в спільному майні подружжя, державний акт про право власності на земельну ділянку</w:t>
      </w:r>
      <w:r w:rsidR="004567D4" w:rsidRPr="003E2496">
        <w:rPr>
          <w:rFonts w:eastAsia="Calibri" w:cs="Times New Roman"/>
          <w:sz w:val="24"/>
          <w:szCs w:val="28"/>
        </w:rPr>
        <w:t xml:space="preserve"> тощо</w:t>
      </w:r>
      <w:r w:rsidRPr="003E2496">
        <w:rPr>
          <w:rFonts w:eastAsia="Calibri" w:cs="Times New Roman"/>
          <w:sz w:val="24"/>
          <w:szCs w:val="28"/>
        </w:rPr>
        <w:t xml:space="preserve">. </w:t>
      </w:r>
    </w:p>
    <w:p w:rsidR="007E5334" w:rsidRPr="003E2496" w:rsidRDefault="007E5334"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Важливо </w:t>
      </w:r>
      <w:r w:rsidR="0056187F" w:rsidRPr="003E2496">
        <w:rPr>
          <w:rFonts w:eastAsia="Calibri" w:cs="Times New Roman"/>
          <w:sz w:val="24"/>
          <w:szCs w:val="28"/>
        </w:rPr>
        <w:t>також відзначити,</w:t>
      </w:r>
      <w:r w:rsidRPr="003E2496">
        <w:rPr>
          <w:rFonts w:eastAsia="Calibri" w:cs="Times New Roman"/>
          <w:sz w:val="24"/>
          <w:szCs w:val="28"/>
        </w:rPr>
        <w:t xml:space="preserve"> що визнання </w:t>
      </w:r>
      <w:r w:rsidR="00FD2829" w:rsidRPr="003E2496">
        <w:rPr>
          <w:rFonts w:eastAsia="Calibri" w:cs="Times New Roman"/>
          <w:sz w:val="24"/>
          <w:szCs w:val="28"/>
        </w:rPr>
        <w:t>свідоцтв про право на спадщину</w:t>
      </w:r>
      <w:r w:rsidRPr="003E2496">
        <w:rPr>
          <w:rFonts w:eastAsia="Calibri" w:cs="Times New Roman"/>
          <w:sz w:val="24"/>
          <w:szCs w:val="28"/>
        </w:rPr>
        <w:t xml:space="preserve"> недійсними здійснюється не за правилами, встановленими для правочинів, а за правилами, встановленими спеціальними нормами, </w:t>
      </w:r>
      <w:r w:rsidR="00FD2829" w:rsidRPr="003E2496">
        <w:rPr>
          <w:rFonts w:eastAsia="Calibri" w:cs="Times New Roman"/>
          <w:sz w:val="24"/>
          <w:szCs w:val="28"/>
        </w:rPr>
        <w:t>зокрема</w:t>
      </w:r>
      <w:r w:rsidRPr="003E2496">
        <w:rPr>
          <w:rFonts w:eastAsia="Calibri" w:cs="Times New Roman"/>
          <w:sz w:val="24"/>
          <w:szCs w:val="28"/>
        </w:rPr>
        <w:t xml:space="preserve">, статтею 1301 ЦК </w:t>
      </w:r>
      <w:r w:rsidR="00FD2829" w:rsidRPr="003E2496">
        <w:rPr>
          <w:rFonts w:eastAsia="Calibri" w:cs="Times New Roman"/>
          <w:sz w:val="24"/>
          <w:szCs w:val="28"/>
        </w:rPr>
        <w:t>України.</w:t>
      </w:r>
      <w:r w:rsidRPr="003E2496">
        <w:rPr>
          <w:rFonts w:eastAsia="Calibri" w:cs="Times New Roman"/>
          <w:sz w:val="24"/>
          <w:szCs w:val="28"/>
        </w:rPr>
        <w:t xml:space="preserve"> Проте</w:t>
      </w:r>
      <w:r w:rsidR="0048430F" w:rsidRPr="003E2496">
        <w:rPr>
          <w:rFonts w:eastAsia="Calibri" w:cs="Times New Roman"/>
          <w:sz w:val="24"/>
          <w:szCs w:val="28"/>
        </w:rPr>
        <w:t>,</w:t>
      </w:r>
      <w:r w:rsidRPr="003E2496">
        <w:rPr>
          <w:rFonts w:eastAsia="Calibri" w:cs="Times New Roman"/>
          <w:sz w:val="24"/>
          <w:szCs w:val="28"/>
        </w:rPr>
        <w:t xml:space="preserve"> некоректно сформульована назва вищенаведеної Постанови може дати привід вважати, що можливе визнання свідоцтва про право на спадщину та договору іпотеки нед</w:t>
      </w:r>
      <w:r w:rsidR="0056187F" w:rsidRPr="003E2496">
        <w:rPr>
          <w:rFonts w:eastAsia="Calibri" w:cs="Times New Roman"/>
          <w:sz w:val="24"/>
          <w:szCs w:val="28"/>
        </w:rPr>
        <w:t>ійсними за однаковими правилами, що насправді не так.</w:t>
      </w:r>
    </w:p>
    <w:p w:rsidR="000B66E7" w:rsidRPr="003E2496" w:rsidRDefault="000B66E7" w:rsidP="003E2496">
      <w:pPr>
        <w:spacing w:after="0" w:line="360" w:lineRule="auto"/>
        <w:ind w:firstLine="709"/>
        <w:jc w:val="both"/>
        <w:rPr>
          <w:rFonts w:eastAsia="Calibri" w:cs="Times New Roman"/>
          <w:sz w:val="24"/>
          <w:szCs w:val="28"/>
        </w:rPr>
      </w:pPr>
      <w:r w:rsidRPr="003E2496">
        <w:rPr>
          <w:rFonts w:eastAsia="Calibri" w:cs="Times New Roman"/>
          <w:sz w:val="24"/>
          <w:szCs w:val="28"/>
        </w:rPr>
        <w:t>Поширеними в судовій практиці є спори у сфері спадкових правовідносин, предметом розгляду яких є не лише визнання свідоцтва про право на спадщину недійсним, але й наслідки не отримання свідоцтва про право на спадщину спадкоємцем.</w:t>
      </w:r>
    </w:p>
    <w:p w:rsidR="003B4E88" w:rsidRPr="003E2496" w:rsidRDefault="0056187F" w:rsidP="003E2496">
      <w:pPr>
        <w:spacing w:after="0" w:line="360" w:lineRule="auto"/>
        <w:ind w:firstLine="709"/>
        <w:jc w:val="both"/>
        <w:rPr>
          <w:rFonts w:eastAsia="Calibri" w:cs="Times New Roman"/>
          <w:sz w:val="24"/>
          <w:szCs w:val="28"/>
        </w:rPr>
      </w:pPr>
      <w:r w:rsidRPr="003E2496">
        <w:rPr>
          <w:rFonts w:eastAsia="Calibri" w:cs="Times New Roman"/>
          <w:sz w:val="24"/>
          <w:szCs w:val="28"/>
        </w:rPr>
        <w:t>Так, у постанові Верховного суду України від 28 лютого 2018 року у справі № 441/1647/15-ц зазначається, що з</w:t>
      </w:r>
      <w:r w:rsidR="003B4E88" w:rsidRPr="003E2496">
        <w:rPr>
          <w:rFonts w:eastAsia="Calibri" w:cs="Times New Roman"/>
          <w:sz w:val="24"/>
          <w:szCs w:val="28"/>
        </w:rPr>
        <w:t>а змістом статей 1218, 1219 ЦК України зобов'язання боржника за кредитним договором не є таким, що нерозривно пов'язано з його особою.</w:t>
      </w:r>
      <w:r w:rsidRPr="003E2496">
        <w:rPr>
          <w:rFonts w:eastAsia="Calibri" w:cs="Times New Roman"/>
          <w:sz w:val="24"/>
          <w:szCs w:val="28"/>
        </w:rPr>
        <w:t xml:space="preserve"> </w:t>
      </w:r>
      <w:r w:rsidR="003B4E88" w:rsidRPr="003E2496">
        <w:rPr>
          <w:rFonts w:eastAsia="Calibri" w:cs="Times New Roman"/>
          <w:sz w:val="24"/>
          <w:szCs w:val="28"/>
        </w:rPr>
        <w:t>Згідно зі статтею 1218 ЦК України до складу спадщини входять усі права та обов'язки, що належали спадкодавцеві на момент відкриття спадщини і не припинилися внаслідок його смерті. В Законі України «Про іпотеку» відсутні такі підстави для припинення іпотеки, як смерть боржника за кредитним дого</w:t>
      </w:r>
      <w:r w:rsidR="00065B97" w:rsidRPr="003E2496">
        <w:rPr>
          <w:rFonts w:eastAsia="Calibri" w:cs="Times New Roman"/>
          <w:sz w:val="24"/>
          <w:szCs w:val="28"/>
        </w:rPr>
        <w:t>вором, враховуючи те, що спірні</w:t>
      </w:r>
      <w:r w:rsidR="003B4E88" w:rsidRPr="003E2496">
        <w:rPr>
          <w:rFonts w:eastAsia="Calibri" w:cs="Times New Roman"/>
          <w:sz w:val="24"/>
          <w:szCs w:val="28"/>
        </w:rPr>
        <w:t xml:space="preserve"> правовідносини допускають правонаступництво.</w:t>
      </w:r>
    </w:p>
    <w:p w:rsidR="0056187F" w:rsidRPr="003E2496" w:rsidRDefault="0056187F"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Посилаючись на те, що свідоцтво про право на спадщину не видавалось, суд не врахував, що відсутність свідоцтва про право на спадщину не позбавляє спадкоємця права на спадщину (частина третя статті 1296 ЦК України), а лише обмежує його право на розпорядження спадщиною. Відтак, ВСУ дійшов правильного висновку про значення свідоцтва про право на спадщину, яке є </w:t>
      </w:r>
      <w:r w:rsidR="006F4746" w:rsidRPr="003E2496">
        <w:rPr>
          <w:rFonts w:eastAsia="Calibri" w:cs="Times New Roman"/>
          <w:sz w:val="24"/>
          <w:szCs w:val="28"/>
        </w:rPr>
        <w:t>документом, що підтверджує право власності спадкоємця на спадкове майно.</w:t>
      </w:r>
    </w:p>
    <w:p w:rsidR="003B4E88" w:rsidRDefault="000B66E7" w:rsidP="003E2496">
      <w:pPr>
        <w:spacing w:after="0" w:line="360" w:lineRule="auto"/>
        <w:ind w:firstLine="709"/>
        <w:jc w:val="both"/>
        <w:rPr>
          <w:rFonts w:eastAsia="Calibri" w:cs="Times New Roman"/>
          <w:sz w:val="24"/>
          <w:szCs w:val="28"/>
        </w:rPr>
      </w:pPr>
      <w:r w:rsidRPr="003E2496">
        <w:rPr>
          <w:rFonts w:eastAsia="Calibri" w:cs="Times New Roman"/>
          <w:sz w:val="24"/>
          <w:szCs w:val="28"/>
        </w:rPr>
        <w:t xml:space="preserve">На підставі викладеного, слід відзначити наступні ознаки свідоцтва про право на спадщину: 1) воно є документом, який </w:t>
      </w:r>
      <w:r w:rsidR="004567D4" w:rsidRPr="003E2496">
        <w:rPr>
          <w:rFonts w:eastAsia="Calibri" w:cs="Times New Roman"/>
          <w:sz w:val="24"/>
          <w:szCs w:val="28"/>
        </w:rPr>
        <w:t>посвідчує</w:t>
      </w:r>
      <w:r w:rsidRPr="003E2496">
        <w:rPr>
          <w:rFonts w:eastAsia="Calibri" w:cs="Times New Roman"/>
          <w:sz w:val="24"/>
          <w:szCs w:val="28"/>
        </w:rPr>
        <w:t xml:space="preserve"> право власності спадкоємця; 2) не</w:t>
      </w:r>
      <w:r w:rsidR="006F4746" w:rsidRPr="003E2496">
        <w:rPr>
          <w:rFonts w:eastAsia="Calibri" w:cs="Times New Roman"/>
          <w:sz w:val="24"/>
          <w:szCs w:val="28"/>
        </w:rPr>
        <w:t xml:space="preserve"> </w:t>
      </w:r>
      <w:r w:rsidRPr="003E2496">
        <w:rPr>
          <w:rFonts w:eastAsia="Calibri" w:cs="Times New Roman"/>
          <w:sz w:val="24"/>
          <w:szCs w:val="28"/>
        </w:rPr>
        <w:t>отримання свідоцтва про право на спадщину не означає не виникнення права власності на спадкове майно у спадкоємця, а лише обмежує такого спадкоємця у здійсненні права власності; 3) свідоцтво про право на спадщину може бути визнано не</w:t>
      </w:r>
      <w:r w:rsidR="004567D4" w:rsidRPr="003E2496">
        <w:rPr>
          <w:rFonts w:eastAsia="Calibri" w:cs="Times New Roman"/>
          <w:sz w:val="24"/>
          <w:szCs w:val="28"/>
        </w:rPr>
        <w:t>дійсним виключно на підставі статті</w:t>
      </w:r>
      <w:r w:rsidRPr="003E2496">
        <w:rPr>
          <w:rFonts w:eastAsia="Calibri" w:cs="Times New Roman"/>
          <w:sz w:val="24"/>
          <w:szCs w:val="28"/>
        </w:rPr>
        <w:t xml:space="preserve"> 1301 ЦК України); 4) у свідоцтв</w:t>
      </w:r>
      <w:r w:rsidR="00047D11" w:rsidRPr="003E2496">
        <w:rPr>
          <w:rFonts w:eastAsia="Calibri" w:cs="Times New Roman"/>
          <w:sz w:val="24"/>
          <w:szCs w:val="28"/>
        </w:rPr>
        <w:t>о</w:t>
      </w:r>
      <w:r w:rsidRPr="003E2496">
        <w:rPr>
          <w:rFonts w:eastAsia="Calibri" w:cs="Times New Roman"/>
          <w:sz w:val="24"/>
          <w:szCs w:val="28"/>
        </w:rPr>
        <w:t xml:space="preserve"> про право на спадщину може бути внесено зміни на підставах та в порядку</w:t>
      </w:r>
      <w:r w:rsidR="006F4746" w:rsidRPr="003E2496">
        <w:rPr>
          <w:rFonts w:eastAsia="Calibri" w:cs="Times New Roman"/>
          <w:sz w:val="24"/>
          <w:szCs w:val="28"/>
        </w:rPr>
        <w:t>,</w:t>
      </w:r>
      <w:r w:rsidRPr="003E2496">
        <w:rPr>
          <w:rFonts w:eastAsia="Calibri" w:cs="Times New Roman"/>
          <w:sz w:val="24"/>
          <w:szCs w:val="28"/>
        </w:rPr>
        <w:t xml:space="preserve"> передбачених </w:t>
      </w:r>
      <w:r w:rsidR="00047D11" w:rsidRPr="003E2496">
        <w:rPr>
          <w:rFonts w:eastAsia="Calibri" w:cs="Times New Roman"/>
          <w:sz w:val="24"/>
          <w:szCs w:val="28"/>
        </w:rPr>
        <w:t>нотаріальним законодавством</w:t>
      </w:r>
      <w:r w:rsidR="006F4746" w:rsidRPr="003E2496">
        <w:rPr>
          <w:rFonts w:eastAsia="Calibri" w:cs="Times New Roman"/>
          <w:sz w:val="24"/>
          <w:szCs w:val="28"/>
        </w:rPr>
        <w:t>, або</w:t>
      </w:r>
      <w:r w:rsidR="00047D11" w:rsidRPr="003E2496">
        <w:rPr>
          <w:rFonts w:eastAsia="Calibri" w:cs="Times New Roman"/>
          <w:sz w:val="24"/>
          <w:szCs w:val="28"/>
        </w:rPr>
        <w:t xml:space="preserve"> за рішенням суду.</w:t>
      </w:r>
    </w:p>
    <w:p w:rsidR="003E2496" w:rsidRPr="00AF48BF" w:rsidRDefault="003E2496" w:rsidP="003E2496">
      <w:pPr>
        <w:spacing w:after="0" w:line="360" w:lineRule="auto"/>
        <w:ind w:firstLine="709"/>
        <w:jc w:val="both"/>
        <w:rPr>
          <w:rFonts w:eastAsia="Calibri" w:cs="Times New Roman"/>
          <w:sz w:val="10"/>
          <w:szCs w:val="28"/>
        </w:rPr>
      </w:pPr>
    </w:p>
    <w:p w:rsidR="003E2496" w:rsidRPr="00AF48BF" w:rsidRDefault="003E2496" w:rsidP="003E2496">
      <w:pPr>
        <w:spacing w:after="0" w:line="240" w:lineRule="auto"/>
        <w:ind w:firstLine="709"/>
        <w:jc w:val="both"/>
        <w:rPr>
          <w:rFonts w:eastAsia="Calibri" w:cs="Times New Roman"/>
          <w:sz w:val="20"/>
          <w:szCs w:val="20"/>
        </w:rPr>
      </w:pPr>
      <w:r w:rsidRPr="00AF48BF">
        <w:rPr>
          <w:rFonts w:eastAsia="Calibri" w:cs="Times New Roman"/>
          <w:sz w:val="20"/>
          <w:szCs w:val="20"/>
        </w:rPr>
        <w:t xml:space="preserve">Друга київська державна </w:t>
      </w:r>
    </w:p>
    <w:p w:rsidR="004567D4" w:rsidRPr="00AF48BF" w:rsidRDefault="003E2496" w:rsidP="003E2496">
      <w:pPr>
        <w:spacing w:after="0" w:line="240" w:lineRule="auto"/>
        <w:ind w:firstLine="709"/>
        <w:jc w:val="both"/>
        <w:rPr>
          <w:rFonts w:eastAsia="Calibri" w:cs="Times New Roman"/>
          <w:sz w:val="20"/>
          <w:szCs w:val="20"/>
        </w:rPr>
      </w:pPr>
      <w:bookmarkStart w:id="3" w:name="_GoBack"/>
      <w:bookmarkEnd w:id="3"/>
      <w:r w:rsidRPr="00AF48BF">
        <w:rPr>
          <w:rFonts w:eastAsia="Calibri" w:cs="Times New Roman"/>
          <w:sz w:val="20"/>
          <w:szCs w:val="20"/>
        </w:rPr>
        <w:t>нотаріальна контора</w:t>
      </w:r>
    </w:p>
    <w:sectPr w:rsidR="004567D4" w:rsidRPr="00AF48BF" w:rsidSect="003E249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15" w:rsidRDefault="00AD3015" w:rsidP="007E5334">
      <w:pPr>
        <w:spacing w:after="0" w:line="240" w:lineRule="auto"/>
      </w:pPr>
      <w:r>
        <w:separator/>
      </w:r>
    </w:p>
  </w:endnote>
  <w:endnote w:type="continuationSeparator" w:id="0">
    <w:p w:rsidR="00AD3015" w:rsidRDefault="00AD3015" w:rsidP="007E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15" w:rsidRDefault="00AD3015" w:rsidP="007E5334">
      <w:pPr>
        <w:spacing w:after="0" w:line="240" w:lineRule="auto"/>
      </w:pPr>
      <w:r>
        <w:separator/>
      </w:r>
    </w:p>
  </w:footnote>
  <w:footnote w:type="continuationSeparator" w:id="0">
    <w:p w:rsidR="00AD3015" w:rsidRDefault="00AD3015" w:rsidP="007E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5334"/>
    <w:rsid w:val="00047D11"/>
    <w:rsid w:val="00065B97"/>
    <w:rsid w:val="000B66E7"/>
    <w:rsid w:val="002A161C"/>
    <w:rsid w:val="003B4E88"/>
    <w:rsid w:val="003E2496"/>
    <w:rsid w:val="003E6EF2"/>
    <w:rsid w:val="004567D4"/>
    <w:rsid w:val="0048430F"/>
    <w:rsid w:val="0056187F"/>
    <w:rsid w:val="00597CDF"/>
    <w:rsid w:val="006F4746"/>
    <w:rsid w:val="007E5334"/>
    <w:rsid w:val="008D5FBC"/>
    <w:rsid w:val="00956495"/>
    <w:rsid w:val="009704CC"/>
    <w:rsid w:val="00AD3015"/>
    <w:rsid w:val="00AF48BF"/>
    <w:rsid w:val="00F358F4"/>
    <w:rsid w:val="00FD2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F2"/>
  </w:style>
  <w:style w:type="paragraph" w:styleId="1">
    <w:name w:val="heading 1"/>
    <w:basedOn w:val="a"/>
    <w:link w:val="10"/>
    <w:uiPriority w:val="9"/>
    <w:qFormat/>
    <w:rsid w:val="0056187F"/>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334"/>
    <w:pPr>
      <w:ind w:left="720"/>
      <w:contextualSpacing/>
    </w:pPr>
    <w:rPr>
      <w:rFonts w:asciiTheme="minorHAnsi" w:hAnsiTheme="minorHAnsi"/>
      <w:sz w:val="22"/>
    </w:rPr>
  </w:style>
  <w:style w:type="paragraph" w:styleId="a4">
    <w:name w:val="footnote text"/>
    <w:basedOn w:val="a"/>
    <w:link w:val="a5"/>
    <w:uiPriority w:val="99"/>
    <w:semiHidden/>
    <w:unhideWhenUsed/>
    <w:rsid w:val="007E5334"/>
    <w:pPr>
      <w:spacing w:after="0" w:line="240" w:lineRule="auto"/>
    </w:pPr>
    <w:rPr>
      <w:rFonts w:asciiTheme="minorHAnsi" w:hAnsiTheme="minorHAnsi"/>
      <w:sz w:val="20"/>
      <w:szCs w:val="20"/>
    </w:rPr>
  </w:style>
  <w:style w:type="character" w:customStyle="1" w:styleId="a5">
    <w:name w:val="Текст сноски Знак"/>
    <w:basedOn w:val="a0"/>
    <w:link w:val="a4"/>
    <w:uiPriority w:val="99"/>
    <w:semiHidden/>
    <w:rsid w:val="007E5334"/>
    <w:rPr>
      <w:rFonts w:asciiTheme="minorHAnsi" w:hAnsiTheme="minorHAnsi"/>
      <w:sz w:val="20"/>
      <w:szCs w:val="20"/>
    </w:rPr>
  </w:style>
  <w:style w:type="character" w:styleId="a6">
    <w:name w:val="footnote reference"/>
    <w:basedOn w:val="a0"/>
    <w:uiPriority w:val="99"/>
    <w:semiHidden/>
    <w:unhideWhenUsed/>
    <w:rsid w:val="007E5334"/>
    <w:rPr>
      <w:vertAlign w:val="superscript"/>
    </w:rPr>
  </w:style>
  <w:style w:type="paragraph" w:customStyle="1" w:styleId="rvps2">
    <w:name w:val="rvps2"/>
    <w:basedOn w:val="a"/>
    <w:rsid w:val="007E5334"/>
    <w:pPr>
      <w:spacing w:before="100" w:beforeAutospacing="1" w:after="100" w:afterAutospacing="1" w:line="240" w:lineRule="auto"/>
    </w:pPr>
    <w:rPr>
      <w:rFonts w:eastAsia="Times New Roman" w:cs="Times New Roman"/>
      <w:sz w:val="24"/>
      <w:szCs w:val="24"/>
      <w:lang w:eastAsia="uk-UA"/>
    </w:rPr>
  </w:style>
  <w:style w:type="character" w:styleId="a7">
    <w:name w:val="Hyperlink"/>
    <w:basedOn w:val="a0"/>
    <w:uiPriority w:val="99"/>
    <w:semiHidden/>
    <w:unhideWhenUsed/>
    <w:rsid w:val="007E5334"/>
    <w:rPr>
      <w:color w:val="0000FF"/>
      <w:u w:val="single"/>
    </w:rPr>
  </w:style>
  <w:style w:type="paragraph" w:styleId="a8">
    <w:name w:val="Normal (Web)"/>
    <w:basedOn w:val="a"/>
    <w:uiPriority w:val="99"/>
    <w:semiHidden/>
    <w:unhideWhenUsed/>
    <w:rsid w:val="003B4E88"/>
    <w:pPr>
      <w:spacing w:before="100" w:beforeAutospacing="1" w:after="100" w:afterAutospacing="1" w:line="240" w:lineRule="auto"/>
    </w:pPr>
    <w:rPr>
      <w:rFonts w:eastAsia="Times New Roman" w:cs="Times New Roman"/>
      <w:sz w:val="24"/>
      <w:szCs w:val="24"/>
      <w:lang w:eastAsia="uk-UA"/>
    </w:rPr>
  </w:style>
  <w:style w:type="character" w:customStyle="1" w:styleId="10">
    <w:name w:val="Заголовок 1 Знак"/>
    <w:basedOn w:val="a0"/>
    <w:link w:val="1"/>
    <w:uiPriority w:val="9"/>
    <w:rsid w:val="0056187F"/>
    <w:rPr>
      <w:rFonts w:eastAsia="Times New Roman" w:cs="Times New Roman"/>
      <w:b/>
      <w:bCs/>
      <w:kern w:val="36"/>
      <w:sz w:val="48"/>
      <w:szCs w:val="48"/>
      <w:lang w:eastAsia="uk-UA"/>
    </w:rPr>
  </w:style>
  <w:style w:type="paragraph" w:styleId="a9">
    <w:name w:val="Balloon Text"/>
    <w:basedOn w:val="a"/>
    <w:link w:val="aa"/>
    <w:uiPriority w:val="99"/>
    <w:semiHidden/>
    <w:unhideWhenUsed/>
    <w:rsid w:val="00065B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87F"/>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334"/>
    <w:pPr>
      <w:ind w:left="720"/>
      <w:contextualSpacing/>
    </w:pPr>
    <w:rPr>
      <w:rFonts w:asciiTheme="minorHAnsi" w:hAnsiTheme="minorHAnsi"/>
      <w:sz w:val="22"/>
    </w:rPr>
  </w:style>
  <w:style w:type="paragraph" w:styleId="a4">
    <w:name w:val="footnote text"/>
    <w:basedOn w:val="a"/>
    <w:link w:val="a5"/>
    <w:uiPriority w:val="99"/>
    <w:semiHidden/>
    <w:unhideWhenUsed/>
    <w:rsid w:val="007E5334"/>
    <w:pPr>
      <w:spacing w:after="0" w:line="240" w:lineRule="auto"/>
    </w:pPr>
    <w:rPr>
      <w:rFonts w:asciiTheme="minorHAnsi" w:hAnsiTheme="minorHAnsi"/>
      <w:sz w:val="20"/>
      <w:szCs w:val="20"/>
    </w:rPr>
  </w:style>
  <w:style w:type="character" w:customStyle="1" w:styleId="a5">
    <w:name w:val="Текст сноски Знак"/>
    <w:basedOn w:val="a0"/>
    <w:link w:val="a4"/>
    <w:uiPriority w:val="99"/>
    <w:semiHidden/>
    <w:rsid w:val="007E5334"/>
    <w:rPr>
      <w:rFonts w:asciiTheme="minorHAnsi" w:hAnsiTheme="minorHAnsi"/>
      <w:sz w:val="20"/>
      <w:szCs w:val="20"/>
    </w:rPr>
  </w:style>
  <w:style w:type="character" w:styleId="a6">
    <w:name w:val="footnote reference"/>
    <w:basedOn w:val="a0"/>
    <w:uiPriority w:val="99"/>
    <w:semiHidden/>
    <w:unhideWhenUsed/>
    <w:rsid w:val="007E5334"/>
    <w:rPr>
      <w:vertAlign w:val="superscript"/>
    </w:rPr>
  </w:style>
  <w:style w:type="paragraph" w:customStyle="1" w:styleId="rvps2">
    <w:name w:val="rvps2"/>
    <w:basedOn w:val="a"/>
    <w:rsid w:val="007E5334"/>
    <w:pPr>
      <w:spacing w:before="100" w:beforeAutospacing="1" w:after="100" w:afterAutospacing="1" w:line="240" w:lineRule="auto"/>
    </w:pPr>
    <w:rPr>
      <w:rFonts w:eastAsia="Times New Roman" w:cs="Times New Roman"/>
      <w:sz w:val="24"/>
      <w:szCs w:val="24"/>
      <w:lang w:eastAsia="uk-UA"/>
    </w:rPr>
  </w:style>
  <w:style w:type="character" w:styleId="a7">
    <w:name w:val="Hyperlink"/>
    <w:basedOn w:val="a0"/>
    <w:uiPriority w:val="99"/>
    <w:semiHidden/>
    <w:unhideWhenUsed/>
    <w:rsid w:val="007E5334"/>
    <w:rPr>
      <w:color w:val="0000FF"/>
      <w:u w:val="single"/>
    </w:rPr>
  </w:style>
  <w:style w:type="paragraph" w:styleId="a8">
    <w:name w:val="Normal (Web)"/>
    <w:basedOn w:val="a"/>
    <w:uiPriority w:val="99"/>
    <w:semiHidden/>
    <w:unhideWhenUsed/>
    <w:rsid w:val="003B4E88"/>
    <w:pPr>
      <w:spacing w:before="100" w:beforeAutospacing="1" w:after="100" w:afterAutospacing="1" w:line="240" w:lineRule="auto"/>
    </w:pPr>
    <w:rPr>
      <w:rFonts w:eastAsia="Times New Roman" w:cs="Times New Roman"/>
      <w:sz w:val="24"/>
      <w:szCs w:val="24"/>
      <w:lang w:eastAsia="uk-UA"/>
    </w:rPr>
  </w:style>
  <w:style w:type="character" w:customStyle="1" w:styleId="10">
    <w:name w:val="Заголовок 1 Знак"/>
    <w:basedOn w:val="a0"/>
    <w:link w:val="1"/>
    <w:uiPriority w:val="9"/>
    <w:rsid w:val="0056187F"/>
    <w:rPr>
      <w:rFonts w:eastAsia="Times New Roman" w:cs="Times New Roman"/>
      <w:b/>
      <w:bCs/>
      <w:kern w:val="36"/>
      <w:sz w:val="48"/>
      <w:szCs w:val="48"/>
      <w:lang w:eastAsia="uk-UA"/>
    </w:rPr>
  </w:style>
  <w:style w:type="paragraph" w:styleId="a9">
    <w:name w:val="Balloon Text"/>
    <w:basedOn w:val="a"/>
    <w:link w:val="aa"/>
    <w:uiPriority w:val="99"/>
    <w:semiHidden/>
    <w:unhideWhenUsed/>
    <w:rsid w:val="00065B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613">
      <w:bodyDiv w:val="1"/>
      <w:marLeft w:val="0"/>
      <w:marRight w:val="0"/>
      <w:marTop w:val="0"/>
      <w:marBottom w:val="0"/>
      <w:divBdr>
        <w:top w:val="none" w:sz="0" w:space="0" w:color="auto"/>
        <w:left w:val="none" w:sz="0" w:space="0" w:color="auto"/>
        <w:bottom w:val="none" w:sz="0" w:space="0" w:color="auto"/>
        <w:right w:val="none" w:sz="0" w:space="0" w:color="auto"/>
      </w:divBdr>
    </w:div>
    <w:div w:id="1098797864">
      <w:bodyDiv w:val="1"/>
      <w:marLeft w:val="0"/>
      <w:marRight w:val="0"/>
      <w:marTop w:val="0"/>
      <w:marBottom w:val="0"/>
      <w:divBdr>
        <w:top w:val="none" w:sz="0" w:space="0" w:color="auto"/>
        <w:left w:val="none" w:sz="0" w:space="0" w:color="auto"/>
        <w:bottom w:val="none" w:sz="0" w:space="0" w:color="auto"/>
        <w:right w:val="none" w:sz="0" w:space="0" w:color="auto"/>
      </w:divBdr>
    </w:div>
    <w:div w:id="11199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test</cp:lastModifiedBy>
  <cp:revision>7</cp:revision>
  <cp:lastPrinted>2019-07-17T12:54:00Z</cp:lastPrinted>
  <dcterms:created xsi:type="dcterms:W3CDTF">2019-07-19T11:45:00Z</dcterms:created>
  <dcterms:modified xsi:type="dcterms:W3CDTF">2019-08-05T09:38:00Z</dcterms:modified>
</cp:coreProperties>
</file>